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86" w:rsidRDefault="00B97BBB">
      <w:pPr>
        <w:tabs>
          <w:tab w:val="left" w:pos="3268"/>
          <w:tab w:val="left" w:pos="6388"/>
        </w:tabs>
        <w:spacing w:before="53"/>
        <w:ind w:left="114"/>
        <w:rPr>
          <w:rFonts w:ascii="Times New Roman" w:eastAsia="Times New Roman"/>
          <w:sz w:val="18"/>
          <w:lang w:eastAsia="zh-CN"/>
        </w:rPr>
      </w:pPr>
      <w:r>
        <w:pict>
          <v:line id="_x0000_s1026" style="position:absolute;left:0;text-align:left;z-index:251658240;mso-position-horizontal-relative:page;mso-width-relative:page;mso-height-relative:page" from="73.7pt,12.95pt" to="516.05pt,12.95pt" strokeweight=".48pt">
            <w10:wrap anchorx="page"/>
          </v:line>
        </w:pict>
      </w:r>
      <w:r>
        <w:rPr>
          <w:rFonts w:ascii="宋体" w:eastAsia="宋体" w:hint="eastAsia"/>
          <w:sz w:val="18"/>
          <w:lang w:eastAsia="zh-CN"/>
        </w:rPr>
        <w:t>北京普利莱基因技术有限公司</w:t>
      </w:r>
      <w:r>
        <w:rPr>
          <w:rFonts w:ascii="宋体" w:eastAsia="宋体" w:hint="eastAsia"/>
          <w:sz w:val="18"/>
          <w:lang w:eastAsia="zh-CN"/>
        </w:rPr>
        <w:tab/>
      </w:r>
      <w:r>
        <w:rPr>
          <w:rFonts w:ascii="宋体" w:eastAsia="宋体" w:hint="eastAsia"/>
          <w:sz w:val="18"/>
          <w:lang w:eastAsia="zh-CN"/>
        </w:rPr>
        <w:t>电话：</w:t>
      </w:r>
      <w:r>
        <w:rPr>
          <w:rFonts w:ascii="Times New Roman" w:eastAsia="Times New Roman"/>
          <w:sz w:val="18"/>
          <w:lang w:eastAsia="zh-CN"/>
        </w:rPr>
        <w:t xml:space="preserve">010-62027915  </w:t>
      </w:r>
      <w:r>
        <w:rPr>
          <w:rFonts w:ascii="Times New Roman" w:eastAsia="Times New Roman"/>
          <w:spacing w:val="39"/>
          <w:sz w:val="18"/>
          <w:lang w:eastAsia="zh-CN"/>
        </w:rPr>
        <w:t xml:space="preserve"> </w:t>
      </w:r>
      <w:r>
        <w:rPr>
          <w:rFonts w:ascii="Times New Roman" w:eastAsia="Times New Roman"/>
          <w:sz w:val="18"/>
          <w:lang w:eastAsia="zh-CN"/>
        </w:rPr>
        <w:t>62053186</w:t>
      </w:r>
      <w:r>
        <w:rPr>
          <w:rFonts w:ascii="Times New Roman" w:eastAsia="Times New Roman"/>
          <w:sz w:val="18"/>
          <w:lang w:eastAsia="zh-CN"/>
        </w:rPr>
        <w:tab/>
        <w:t xml:space="preserve">Email: </w:t>
      </w:r>
      <w:hyperlink r:id="rId6">
        <w:r>
          <w:rPr>
            <w:rFonts w:ascii="Times New Roman" w:eastAsia="Times New Roman"/>
            <w:sz w:val="18"/>
            <w:lang w:eastAsia="zh-CN"/>
          </w:rPr>
          <w:t>service_applygen@163.com</w:t>
        </w:r>
      </w:hyperlink>
    </w:p>
    <w:p w:rsidR="00337686" w:rsidRDefault="00337686">
      <w:pPr>
        <w:pStyle w:val="a3"/>
        <w:rPr>
          <w:rFonts w:ascii="Times New Roman"/>
          <w:sz w:val="20"/>
          <w:lang w:eastAsia="zh-CN"/>
        </w:rPr>
      </w:pPr>
    </w:p>
    <w:p w:rsidR="00337686" w:rsidRDefault="00B97BBB">
      <w:pPr>
        <w:tabs>
          <w:tab w:val="left" w:pos="6099"/>
        </w:tabs>
        <w:spacing w:before="259"/>
        <w:ind w:right="496"/>
        <w:jc w:val="center"/>
        <w:rPr>
          <w:rFonts w:eastAsia="宋体"/>
          <w:b/>
          <w:sz w:val="28"/>
          <w:lang w:eastAsia="zh-CN"/>
        </w:rPr>
      </w:pPr>
      <w:r>
        <w:rPr>
          <w:rFonts w:ascii="宋体" w:eastAsia="宋体" w:hAnsi="宋体" w:hint="eastAsia"/>
          <w:b/>
          <w:sz w:val="28"/>
          <w:lang w:eastAsia="zh-CN"/>
        </w:rPr>
        <w:t xml:space="preserve">   </w:t>
      </w:r>
      <w:r>
        <w:rPr>
          <w:rFonts w:ascii="宋体" w:hAnsi="宋体" w:hint="eastAsia"/>
          <w:b/>
          <w:sz w:val="28"/>
          <w:lang w:eastAsia="zh-CN"/>
        </w:rPr>
        <w:t>磷酸酶抑制剂混合物</w:t>
      </w:r>
      <w:r>
        <w:rPr>
          <w:rFonts w:ascii="宋体" w:eastAsia="宋体" w:hAnsi="宋体" w:hint="eastAsia"/>
          <w:b/>
          <w:sz w:val="28"/>
          <w:lang w:eastAsia="zh-CN"/>
        </w:rPr>
        <w:t>(</w:t>
      </w:r>
      <w:r>
        <w:rPr>
          <w:rFonts w:ascii="宋体" w:hAnsi="宋体" w:hint="eastAsia"/>
          <w:b/>
          <w:sz w:val="28"/>
          <w:lang w:eastAsia="zh-CN"/>
        </w:rPr>
        <w:t>哺乳动物专用</w:t>
      </w:r>
      <w:r>
        <w:rPr>
          <w:rFonts w:ascii="宋体" w:eastAsia="宋体" w:hAnsi="宋体" w:hint="eastAsia"/>
          <w:b/>
          <w:sz w:val="28"/>
          <w:lang w:eastAsia="zh-CN"/>
        </w:rPr>
        <w:t xml:space="preserve">)  </w:t>
      </w:r>
      <w:r>
        <w:rPr>
          <w:b/>
          <w:sz w:val="28"/>
          <w:lang w:eastAsia="zh-CN"/>
        </w:rPr>
        <w:t>P126</w:t>
      </w:r>
      <w:r>
        <w:rPr>
          <w:rFonts w:eastAsia="宋体" w:hint="eastAsia"/>
          <w:b/>
          <w:sz w:val="28"/>
          <w:lang w:eastAsia="zh-CN"/>
        </w:rPr>
        <w:t>1</w:t>
      </w:r>
    </w:p>
    <w:p w:rsidR="00337686" w:rsidRDefault="00B97BBB">
      <w:pPr>
        <w:spacing w:before="156"/>
        <w:ind w:right="410"/>
        <w:jc w:val="center"/>
        <w:rPr>
          <w:rFonts w:ascii="宋体" w:eastAsia="宋体"/>
          <w:b/>
          <w:sz w:val="21"/>
          <w:lang w:eastAsia="zh-CN"/>
        </w:rPr>
      </w:pPr>
      <w:r>
        <w:rPr>
          <w:rFonts w:ascii="宋体" w:eastAsia="宋体" w:hint="eastAsia"/>
          <w:b/>
          <w:sz w:val="21"/>
          <w:lang w:eastAsia="zh-CN"/>
        </w:rPr>
        <w:t>（抑制蛋白丝</w:t>
      </w:r>
      <w:r>
        <w:rPr>
          <w:rFonts w:ascii="宋体" w:eastAsia="宋体" w:hint="eastAsia"/>
          <w:b/>
          <w:sz w:val="21"/>
          <w:lang w:eastAsia="zh-CN"/>
        </w:rPr>
        <w:t>/</w:t>
      </w:r>
      <w:r>
        <w:rPr>
          <w:rFonts w:ascii="宋体" w:eastAsia="宋体" w:hint="eastAsia"/>
          <w:b/>
          <w:sz w:val="21"/>
          <w:lang w:eastAsia="zh-CN"/>
        </w:rPr>
        <w:t>苏氨酸磷酸酶、蛋白酪氨酸磷酸酶、碱性磷酸酶、酸性磷酸酶）</w:t>
      </w:r>
    </w:p>
    <w:p w:rsidR="00337686" w:rsidRDefault="00337686">
      <w:pPr>
        <w:pStyle w:val="a3"/>
        <w:spacing w:before="8"/>
        <w:rPr>
          <w:rFonts w:ascii="宋体"/>
          <w:b/>
          <w:sz w:val="27"/>
          <w:lang w:eastAsia="zh-CN"/>
        </w:rPr>
      </w:pPr>
    </w:p>
    <w:p w:rsidR="00337686" w:rsidRDefault="00B97BBB">
      <w:pPr>
        <w:pStyle w:val="a3"/>
        <w:spacing w:before="1" w:line="278" w:lineRule="auto"/>
        <w:ind w:left="114" w:right="101"/>
        <w:rPr>
          <w:rFonts w:ascii="宋体" w:eastAsia="宋体"/>
          <w:b/>
          <w:lang w:eastAsia="zh-CN"/>
        </w:rPr>
      </w:pPr>
      <w:r>
        <w:rPr>
          <w:rFonts w:ascii="宋体" w:eastAsia="宋体" w:hint="eastAsia"/>
          <w:b/>
          <w:lang w:eastAsia="zh-CN"/>
        </w:rPr>
        <w:t>描述</w:t>
      </w:r>
      <w:r>
        <w:rPr>
          <w:b/>
          <w:spacing w:val="3"/>
          <w:lang w:eastAsia="zh-CN"/>
        </w:rPr>
        <w:t xml:space="preserve">:  </w:t>
      </w:r>
      <w:r>
        <w:rPr>
          <w:rFonts w:ascii="宋体" w:eastAsia="宋体" w:hint="eastAsia"/>
          <w:spacing w:val="-5"/>
          <w:lang w:eastAsia="zh-CN"/>
        </w:rPr>
        <w:t>组织细胞在裂解过程中释放大量的内源性蛋白磷酸酶，能够以各种方式催化磷酸化蛋白的去</w:t>
      </w:r>
      <w:r>
        <w:rPr>
          <w:rFonts w:ascii="宋体" w:eastAsia="宋体" w:hint="eastAsia"/>
          <w:spacing w:val="-4"/>
          <w:lang w:eastAsia="zh-CN"/>
        </w:rPr>
        <w:t>磷酸化。本蛋白磷酸酶抑制剂混合物</w:t>
      </w:r>
      <w:r>
        <w:rPr>
          <w:lang w:eastAsia="zh-CN"/>
        </w:rPr>
        <w:t>(All-in-One,</w:t>
      </w:r>
      <w:r>
        <w:rPr>
          <w:spacing w:val="6"/>
          <w:lang w:eastAsia="zh-CN"/>
        </w:rPr>
        <w:t xml:space="preserve"> </w:t>
      </w:r>
      <w:r>
        <w:rPr>
          <w:lang w:eastAsia="zh-CN"/>
        </w:rPr>
        <w:t>100x)</w:t>
      </w:r>
      <w:r>
        <w:rPr>
          <w:rFonts w:ascii="宋体" w:eastAsia="宋体" w:hint="eastAsia"/>
          <w:spacing w:val="-2"/>
          <w:lang w:eastAsia="zh-CN"/>
        </w:rPr>
        <w:t>包含</w:t>
      </w:r>
      <w:r>
        <w:rPr>
          <w:lang w:eastAsia="zh-CN"/>
        </w:rPr>
        <w:t>6</w:t>
      </w:r>
      <w:r>
        <w:rPr>
          <w:rFonts w:ascii="宋体" w:eastAsia="宋体" w:hint="eastAsia"/>
          <w:spacing w:val="-3"/>
          <w:lang w:eastAsia="zh-CN"/>
        </w:rPr>
        <w:t>种独立的蛋白磷酸酶抑制剂，每一种</w:t>
      </w:r>
      <w:r>
        <w:rPr>
          <w:rFonts w:ascii="宋体" w:eastAsia="宋体" w:hint="eastAsia"/>
          <w:spacing w:val="-8"/>
          <w:lang w:eastAsia="zh-CN"/>
        </w:rPr>
        <w:t>抑制剂可特异性抑制某一种或几种蛋白磷酸酶活性，包括蛋白丝</w:t>
      </w:r>
      <w:r>
        <w:rPr>
          <w:spacing w:val="-4"/>
          <w:lang w:eastAsia="zh-CN"/>
        </w:rPr>
        <w:t>/</w:t>
      </w:r>
      <w:r>
        <w:rPr>
          <w:rFonts w:ascii="宋体" w:eastAsia="宋体" w:hint="eastAsia"/>
          <w:spacing w:val="-3"/>
          <w:lang w:eastAsia="zh-CN"/>
        </w:rPr>
        <w:t>苏氨酸磷酸酶</w:t>
      </w:r>
      <w:r>
        <w:rPr>
          <w:lang w:eastAsia="zh-CN"/>
        </w:rPr>
        <w:t>(PP1</w:t>
      </w:r>
      <w:r>
        <w:rPr>
          <w:rFonts w:ascii="宋体" w:eastAsia="宋体" w:hint="eastAsia"/>
          <w:spacing w:val="-104"/>
          <w:lang w:eastAsia="zh-CN"/>
        </w:rPr>
        <w:t>、</w:t>
      </w:r>
      <w:r>
        <w:rPr>
          <w:lang w:eastAsia="zh-CN"/>
        </w:rPr>
        <w:t>PP2A</w:t>
      </w:r>
      <w:r>
        <w:rPr>
          <w:rFonts w:ascii="宋体" w:eastAsia="宋体" w:hint="eastAsia"/>
          <w:spacing w:val="-106"/>
          <w:lang w:eastAsia="zh-CN"/>
        </w:rPr>
        <w:t>、</w:t>
      </w:r>
      <w:r>
        <w:rPr>
          <w:lang w:eastAsia="zh-CN"/>
        </w:rPr>
        <w:t>PP2B</w:t>
      </w:r>
      <w:r>
        <w:rPr>
          <w:rFonts w:ascii="宋体" w:eastAsia="宋体" w:hint="eastAsia"/>
          <w:lang w:eastAsia="zh-CN"/>
        </w:rPr>
        <w:t>、</w:t>
      </w:r>
      <w:r>
        <w:rPr>
          <w:lang w:eastAsia="zh-CN"/>
        </w:rPr>
        <w:t>PP2C)</w:t>
      </w:r>
      <w:r>
        <w:rPr>
          <w:rFonts w:ascii="宋体" w:eastAsia="宋体" w:hint="eastAsia"/>
          <w:spacing w:val="-3"/>
          <w:lang w:eastAsia="zh-CN"/>
        </w:rPr>
        <w:t>、蛋白酪氨酸磷酸酶</w:t>
      </w:r>
      <w:r>
        <w:rPr>
          <w:lang w:eastAsia="zh-CN"/>
        </w:rPr>
        <w:t>(PTPs)</w:t>
      </w:r>
      <w:r>
        <w:rPr>
          <w:rFonts w:ascii="宋体" w:eastAsia="宋体" w:hint="eastAsia"/>
          <w:spacing w:val="-3"/>
          <w:lang w:eastAsia="zh-CN"/>
        </w:rPr>
        <w:t>、碱性磷酸</w:t>
      </w:r>
      <w:bookmarkStart w:id="0" w:name="_GoBack"/>
      <w:bookmarkEnd w:id="0"/>
      <w:r>
        <w:rPr>
          <w:rFonts w:ascii="宋体" w:eastAsia="宋体" w:hint="eastAsia"/>
          <w:spacing w:val="-3"/>
          <w:lang w:eastAsia="zh-CN"/>
        </w:rPr>
        <w:t>酶、酸性磷酸酶等。该混合物为</w:t>
      </w:r>
      <w:r>
        <w:rPr>
          <w:lang w:eastAsia="zh-CN"/>
        </w:rPr>
        <w:t>100</w:t>
      </w:r>
      <w:r>
        <w:rPr>
          <w:rFonts w:ascii="宋体" w:eastAsia="宋体" w:hint="eastAsia"/>
          <w:spacing w:val="-3"/>
          <w:lang w:eastAsia="zh-CN"/>
        </w:rPr>
        <w:t>倍浓缩水溶液，</w:t>
      </w:r>
      <w:r>
        <w:rPr>
          <w:rFonts w:ascii="宋体" w:eastAsia="宋体" w:hint="eastAsia"/>
          <w:spacing w:val="-3"/>
          <w:lang w:eastAsia="zh-CN"/>
        </w:rPr>
        <w:t xml:space="preserve"> </w:t>
      </w:r>
      <w:r>
        <w:rPr>
          <w:rFonts w:ascii="宋体" w:eastAsia="宋体" w:hint="eastAsia"/>
          <w:spacing w:val="-6"/>
          <w:lang w:eastAsia="zh-CN"/>
        </w:rPr>
        <w:t>可直接加入任何类型组织和细胞的裂解产物中，有效抑制磷酸化蛋白质的去磷酸化，从而维护蛋白</w:t>
      </w:r>
      <w:r>
        <w:rPr>
          <w:rFonts w:ascii="宋体" w:eastAsia="宋体" w:hint="eastAsia"/>
          <w:spacing w:val="-10"/>
          <w:lang w:eastAsia="zh-CN"/>
        </w:rPr>
        <w:t>质的磷酸化状态。适用于</w:t>
      </w:r>
      <w:r>
        <w:rPr>
          <w:lang w:eastAsia="zh-CN"/>
        </w:rPr>
        <w:t>Western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Blot</w:t>
      </w:r>
      <w:r>
        <w:rPr>
          <w:rFonts w:ascii="宋体" w:eastAsia="宋体" w:hint="eastAsia"/>
          <w:spacing w:val="-7"/>
          <w:lang w:eastAsia="zh-CN"/>
        </w:rPr>
        <w:t>和免疫共沉淀检测磷酸化蛋白质、测定蛋白激酶活性等实验。</w:t>
      </w:r>
      <w:r>
        <w:rPr>
          <w:rFonts w:ascii="宋体" w:eastAsia="宋体" w:hint="eastAsia"/>
          <w:b/>
          <w:spacing w:val="-7"/>
          <w:lang w:eastAsia="zh-CN"/>
        </w:rPr>
        <w:t>参考文献：</w:t>
      </w:r>
    </w:p>
    <w:p w:rsidR="00337686" w:rsidRDefault="00B97BBB">
      <w:pPr>
        <w:pStyle w:val="a4"/>
        <w:numPr>
          <w:ilvl w:val="0"/>
          <w:numId w:val="1"/>
        </w:numPr>
        <w:tabs>
          <w:tab w:val="left" w:pos="316"/>
        </w:tabs>
        <w:spacing w:before="26"/>
        <w:rPr>
          <w:sz w:val="18"/>
        </w:rPr>
      </w:pPr>
      <w:r>
        <w:rPr>
          <w:sz w:val="18"/>
        </w:rPr>
        <w:t>Jain, M.K. (1982) Ha</w:t>
      </w:r>
      <w:r>
        <w:rPr>
          <w:sz w:val="18"/>
        </w:rPr>
        <w:t>ndbook of Enzyme Inhibitors, pp. 189-344. John Wiley and Sons, New York,</w:t>
      </w:r>
      <w:r>
        <w:rPr>
          <w:spacing w:val="-28"/>
          <w:sz w:val="18"/>
        </w:rPr>
        <w:t xml:space="preserve"> </w:t>
      </w:r>
      <w:r>
        <w:rPr>
          <w:sz w:val="18"/>
        </w:rPr>
        <w:t>NY.</w:t>
      </w:r>
    </w:p>
    <w:p w:rsidR="00337686" w:rsidRDefault="00B97BBB">
      <w:pPr>
        <w:pStyle w:val="a4"/>
        <w:numPr>
          <w:ilvl w:val="0"/>
          <w:numId w:val="1"/>
        </w:numPr>
        <w:tabs>
          <w:tab w:val="left" w:pos="316"/>
        </w:tabs>
        <w:spacing w:before="105"/>
        <w:rPr>
          <w:sz w:val="18"/>
        </w:rPr>
      </w:pPr>
      <w:r>
        <w:rPr>
          <w:sz w:val="18"/>
        </w:rPr>
        <w:t>Beynon, R. J., et al. (1989). Proteolytic Enzymes A Practical Approach.</w:t>
      </w:r>
      <w:r>
        <w:rPr>
          <w:spacing w:val="-9"/>
          <w:sz w:val="18"/>
        </w:rPr>
        <w:t xml:space="preserve"> </w:t>
      </w:r>
      <w:r>
        <w:rPr>
          <w:sz w:val="18"/>
        </w:rPr>
        <w:t>p.207</w:t>
      </w:r>
    </w:p>
    <w:p w:rsidR="00337686" w:rsidRDefault="00337686">
      <w:pPr>
        <w:pStyle w:val="a3"/>
        <w:rPr>
          <w:sz w:val="20"/>
        </w:rPr>
      </w:pPr>
    </w:p>
    <w:p w:rsidR="00337686" w:rsidRDefault="00B97BBB">
      <w:pPr>
        <w:pStyle w:val="a3"/>
        <w:spacing w:before="161"/>
        <w:ind w:left="114"/>
        <w:rPr>
          <w:rFonts w:ascii="宋体" w:eastAsia="宋体"/>
          <w:lang w:eastAsia="zh-CN"/>
        </w:rPr>
      </w:pPr>
      <w:r>
        <w:rPr>
          <w:rFonts w:ascii="宋体" w:eastAsia="宋体" w:hint="eastAsia"/>
          <w:b/>
          <w:lang w:eastAsia="zh-CN"/>
        </w:rPr>
        <w:t>适用：</w:t>
      </w:r>
      <w:r>
        <w:rPr>
          <w:rFonts w:ascii="Times New Roman" w:eastAsia="Times New Roman"/>
          <w:lang w:eastAsia="zh-CN"/>
        </w:rPr>
        <w:t>Western Blot</w:t>
      </w:r>
      <w:r>
        <w:rPr>
          <w:rFonts w:ascii="宋体" w:eastAsia="宋体" w:hint="eastAsia"/>
          <w:lang w:eastAsia="zh-CN"/>
        </w:rPr>
        <w:t>和免疫共沉淀检测磷酸化蛋白质、蛋白激酶活性测定等实验。</w:t>
      </w:r>
    </w:p>
    <w:p w:rsidR="00337686" w:rsidRDefault="00337686">
      <w:pPr>
        <w:pStyle w:val="a3"/>
        <w:spacing w:before="8"/>
        <w:rPr>
          <w:rFonts w:ascii="宋体"/>
          <w:sz w:val="27"/>
          <w:lang w:eastAsia="zh-CN"/>
        </w:rPr>
      </w:pPr>
    </w:p>
    <w:p w:rsidR="00337686" w:rsidRPr="00B97BBB" w:rsidRDefault="00B97BBB" w:rsidP="00B97BBB">
      <w:pPr>
        <w:pStyle w:val="a3"/>
        <w:spacing w:before="1" w:line="278" w:lineRule="auto"/>
        <w:ind w:left="114" w:right="206"/>
        <w:rPr>
          <w:rFonts w:ascii="Times New Roman" w:eastAsia="Times New Roman"/>
          <w:b/>
          <w:lang w:eastAsia="zh-CN"/>
        </w:rPr>
      </w:pPr>
      <w:r>
        <w:rPr>
          <w:rFonts w:ascii="宋体" w:eastAsia="宋体" w:hint="eastAsia"/>
          <w:b/>
          <w:lang w:eastAsia="zh-CN"/>
        </w:rPr>
        <w:t>组成</w:t>
      </w:r>
      <w:r>
        <w:rPr>
          <w:rFonts w:ascii="Times New Roman" w:eastAsia="Times New Roman"/>
          <w:b/>
          <w:lang w:eastAsia="zh-CN"/>
        </w:rPr>
        <w:t xml:space="preserve">: </w:t>
      </w:r>
      <w:r w:rsidRPr="00B97BBB">
        <w:rPr>
          <w:rFonts w:ascii="Times New Roman" w:eastAsia="Times New Roman"/>
          <w:lang w:eastAsia="zh-CN"/>
        </w:rPr>
        <w:t xml:space="preserve"> 4mL</w:t>
      </w:r>
      <w:r w:rsidRPr="00B97BBB">
        <w:rPr>
          <w:rFonts w:ascii="Times New Roman" w:eastAsiaTheme="minorEastAsia" w:hint="eastAsia"/>
          <w:lang w:eastAsia="zh-CN"/>
        </w:rPr>
        <w:t xml:space="preserve"> </w:t>
      </w:r>
      <w:r>
        <w:rPr>
          <w:rFonts w:ascii="Times New Roman" w:eastAsiaTheme="minorEastAsia" w:hint="eastAsia"/>
          <w:b/>
          <w:lang w:eastAsia="zh-CN"/>
        </w:rPr>
        <w:t xml:space="preserve">   </w:t>
      </w:r>
      <w:r>
        <w:rPr>
          <w:rFonts w:ascii="宋体" w:eastAsia="宋体" w:hint="eastAsia"/>
          <w:lang w:eastAsia="zh-CN"/>
        </w:rPr>
        <w:t>混合物为</w:t>
      </w:r>
      <w:r>
        <w:rPr>
          <w:rFonts w:ascii="Times New Roman" w:eastAsia="Times New Roman"/>
          <w:lang w:eastAsia="zh-CN"/>
        </w:rPr>
        <w:t>100</w:t>
      </w:r>
      <w:r>
        <w:rPr>
          <w:rFonts w:ascii="宋体" w:eastAsia="宋体" w:hint="eastAsia"/>
          <w:lang w:eastAsia="zh-CN"/>
        </w:rPr>
        <w:t>倍浓缩水溶液，包含</w:t>
      </w:r>
      <w:r>
        <w:rPr>
          <w:rFonts w:ascii="Times New Roman" w:eastAsia="Times New Roman"/>
          <w:lang w:eastAsia="zh-CN"/>
        </w:rPr>
        <w:t>6</w:t>
      </w:r>
      <w:r>
        <w:rPr>
          <w:rFonts w:ascii="宋体" w:eastAsia="宋体" w:hint="eastAsia"/>
          <w:lang w:eastAsia="zh-CN"/>
        </w:rPr>
        <w:t>种独立的蛋白磷酸酶抑制剂；强烈抑制所有蛋白磷酸酶的活性，包括蛋白丝</w:t>
      </w:r>
      <w:r>
        <w:rPr>
          <w:rFonts w:ascii="Times New Roman" w:eastAsia="Times New Roman"/>
          <w:lang w:eastAsia="zh-CN"/>
        </w:rPr>
        <w:t>/</w:t>
      </w:r>
      <w:r>
        <w:rPr>
          <w:rFonts w:ascii="宋体" w:eastAsia="宋体" w:hint="eastAsia"/>
          <w:lang w:eastAsia="zh-CN"/>
        </w:rPr>
        <w:t>苏氨酸磷酸酶</w:t>
      </w:r>
      <w:r>
        <w:rPr>
          <w:rFonts w:ascii="Times New Roman" w:eastAsia="Times New Roman"/>
          <w:lang w:eastAsia="zh-CN"/>
        </w:rPr>
        <w:t>(PP1</w:t>
      </w:r>
      <w:r>
        <w:rPr>
          <w:rFonts w:ascii="宋体" w:eastAsia="宋体" w:hint="eastAsia"/>
          <w:lang w:eastAsia="zh-CN"/>
        </w:rPr>
        <w:t>、</w:t>
      </w:r>
      <w:r>
        <w:rPr>
          <w:rFonts w:ascii="Times New Roman" w:eastAsia="Times New Roman"/>
          <w:lang w:eastAsia="zh-CN"/>
        </w:rPr>
        <w:t>PP2A</w:t>
      </w:r>
      <w:r>
        <w:rPr>
          <w:rFonts w:ascii="宋体" w:eastAsia="宋体" w:hint="eastAsia"/>
          <w:lang w:eastAsia="zh-CN"/>
        </w:rPr>
        <w:t>、</w:t>
      </w:r>
      <w:r>
        <w:rPr>
          <w:rFonts w:ascii="Times New Roman" w:eastAsia="Times New Roman"/>
          <w:lang w:eastAsia="zh-CN"/>
        </w:rPr>
        <w:t>PP2B</w:t>
      </w:r>
      <w:r>
        <w:rPr>
          <w:rFonts w:ascii="宋体" w:eastAsia="宋体" w:hint="eastAsia"/>
          <w:lang w:eastAsia="zh-CN"/>
        </w:rPr>
        <w:t>、</w:t>
      </w:r>
      <w:r>
        <w:rPr>
          <w:rFonts w:ascii="Times New Roman" w:eastAsia="Times New Roman"/>
          <w:lang w:eastAsia="zh-CN"/>
        </w:rPr>
        <w:t>PP2C)</w:t>
      </w:r>
      <w:r>
        <w:rPr>
          <w:rFonts w:ascii="宋体" w:eastAsia="宋体" w:hint="eastAsia"/>
          <w:lang w:eastAsia="zh-CN"/>
        </w:rPr>
        <w:t>、蛋白酪氨酸磷酸酶</w:t>
      </w:r>
      <w:r>
        <w:rPr>
          <w:rFonts w:ascii="Times New Roman" w:eastAsia="Times New Roman"/>
          <w:lang w:eastAsia="zh-CN"/>
        </w:rPr>
        <w:t>(PTPs)</w:t>
      </w:r>
      <w:r>
        <w:rPr>
          <w:rFonts w:ascii="宋体" w:eastAsia="宋体" w:hint="eastAsia"/>
          <w:lang w:eastAsia="zh-CN"/>
        </w:rPr>
        <w:t>、碱性磷酸酶、酸性磷酸酶等。</w:t>
      </w:r>
    </w:p>
    <w:p w:rsidR="00337686" w:rsidRDefault="00B97BBB">
      <w:pPr>
        <w:tabs>
          <w:tab w:val="left" w:pos="1282"/>
        </w:tabs>
        <w:spacing w:before="22" w:line="624" w:lineRule="exact"/>
        <w:ind w:left="114" w:right="2720"/>
        <w:rPr>
          <w:rFonts w:ascii="宋体" w:eastAsia="宋体" w:hAnsi="宋体"/>
          <w:b/>
          <w:sz w:val="21"/>
        </w:rPr>
      </w:pPr>
      <w:r>
        <w:rPr>
          <w:rFonts w:ascii="宋体" w:eastAsia="宋体" w:hAnsi="宋体" w:hint="eastAsia"/>
          <w:b/>
          <w:sz w:val="21"/>
          <w:lang w:eastAsia="zh-CN"/>
        </w:rPr>
        <w:t>储存</w:t>
      </w:r>
      <w:r>
        <w:rPr>
          <w:b/>
          <w:sz w:val="21"/>
          <w:lang w:eastAsia="zh-CN"/>
        </w:rPr>
        <w:t xml:space="preserve">: </w:t>
      </w:r>
      <w:r>
        <w:rPr>
          <w:sz w:val="21"/>
          <w:lang w:eastAsia="zh-CN"/>
        </w:rPr>
        <w:t>4</w:t>
      </w:r>
      <w:r>
        <w:rPr>
          <w:spacing w:val="-1"/>
          <w:sz w:val="21"/>
          <w:lang w:eastAsia="zh-CN"/>
        </w:rPr>
        <w:t xml:space="preserve"> </w:t>
      </w:r>
      <w:r>
        <w:rPr>
          <w:sz w:val="21"/>
          <w:lang w:eastAsia="zh-CN"/>
        </w:rPr>
        <w:t>°C</w:t>
      </w:r>
      <w:r>
        <w:rPr>
          <w:sz w:val="21"/>
          <w:lang w:eastAsia="zh-CN"/>
        </w:rPr>
        <w:tab/>
        <w:t>12</w:t>
      </w:r>
      <w:r>
        <w:rPr>
          <w:rFonts w:ascii="宋体" w:eastAsia="宋体" w:hAnsi="宋体" w:hint="eastAsia"/>
          <w:sz w:val="21"/>
          <w:lang w:eastAsia="zh-CN"/>
        </w:rPr>
        <w:t>个月</w:t>
      </w:r>
      <w:r>
        <w:rPr>
          <w:rFonts w:ascii="宋体" w:eastAsia="宋体" w:hAnsi="宋体" w:hint="eastAsia"/>
          <w:spacing w:val="-3"/>
          <w:sz w:val="21"/>
          <w:lang w:eastAsia="zh-CN"/>
        </w:rPr>
        <w:t>有</w:t>
      </w:r>
      <w:r>
        <w:rPr>
          <w:rFonts w:ascii="宋体" w:eastAsia="宋体" w:hAnsi="宋体" w:hint="eastAsia"/>
          <w:sz w:val="21"/>
          <w:lang w:eastAsia="zh-CN"/>
        </w:rPr>
        <w:t>效</w:t>
      </w:r>
      <w:r>
        <w:rPr>
          <w:rFonts w:ascii="宋体" w:eastAsia="宋体" w:hAnsi="宋体" w:hint="eastAsia"/>
          <w:spacing w:val="-3"/>
          <w:sz w:val="21"/>
          <w:lang w:eastAsia="zh-CN"/>
        </w:rPr>
        <w:t>。</w:t>
      </w:r>
      <w:r>
        <w:rPr>
          <w:rFonts w:ascii="宋体" w:eastAsia="宋体" w:hAnsi="宋体" w:hint="eastAsia"/>
          <w:sz w:val="21"/>
          <w:lang w:eastAsia="zh-CN"/>
        </w:rPr>
        <w:t>储存</w:t>
      </w:r>
      <w:r>
        <w:rPr>
          <w:rFonts w:ascii="宋体" w:eastAsia="宋体" w:hAnsi="宋体" w:hint="eastAsia"/>
          <w:spacing w:val="-3"/>
          <w:sz w:val="21"/>
          <w:lang w:eastAsia="zh-CN"/>
        </w:rPr>
        <w:t>期</w:t>
      </w:r>
      <w:r>
        <w:rPr>
          <w:rFonts w:ascii="宋体" w:eastAsia="宋体" w:hAnsi="宋体" w:hint="eastAsia"/>
          <w:sz w:val="21"/>
          <w:lang w:eastAsia="zh-CN"/>
        </w:rPr>
        <w:t>间</w:t>
      </w:r>
      <w:r>
        <w:rPr>
          <w:rFonts w:ascii="宋体" w:eastAsia="宋体" w:hAnsi="宋体" w:hint="eastAsia"/>
          <w:spacing w:val="-3"/>
          <w:sz w:val="21"/>
          <w:lang w:eastAsia="zh-CN"/>
        </w:rPr>
        <w:t>溶</w:t>
      </w:r>
      <w:r>
        <w:rPr>
          <w:rFonts w:ascii="宋体" w:eastAsia="宋体" w:hAnsi="宋体" w:hint="eastAsia"/>
          <w:sz w:val="21"/>
          <w:lang w:eastAsia="zh-CN"/>
        </w:rPr>
        <w:t>液</w:t>
      </w:r>
      <w:r>
        <w:rPr>
          <w:rFonts w:ascii="宋体" w:eastAsia="宋体" w:hAnsi="宋体" w:hint="eastAsia"/>
          <w:spacing w:val="-3"/>
          <w:sz w:val="21"/>
          <w:lang w:eastAsia="zh-CN"/>
        </w:rPr>
        <w:t>如</w:t>
      </w:r>
      <w:r>
        <w:rPr>
          <w:rFonts w:ascii="宋体" w:eastAsia="宋体" w:hAnsi="宋体" w:hint="eastAsia"/>
          <w:sz w:val="21"/>
          <w:lang w:eastAsia="zh-CN"/>
        </w:rPr>
        <w:t>果</w:t>
      </w:r>
      <w:r>
        <w:rPr>
          <w:rFonts w:ascii="宋体" w:eastAsia="宋体" w:hAnsi="宋体" w:hint="eastAsia"/>
          <w:spacing w:val="-3"/>
          <w:sz w:val="21"/>
          <w:lang w:eastAsia="zh-CN"/>
        </w:rPr>
        <w:t>出</w:t>
      </w:r>
      <w:r>
        <w:rPr>
          <w:rFonts w:ascii="宋体" w:eastAsia="宋体" w:hAnsi="宋体" w:hint="eastAsia"/>
          <w:sz w:val="21"/>
          <w:lang w:eastAsia="zh-CN"/>
        </w:rPr>
        <w:t>现</w:t>
      </w:r>
      <w:r>
        <w:rPr>
          <w:rFonts w:ascii="宋体" w:eastAsia="宋体" w:hAnsi="宋体" w:hint="eastAsia"/>
          <w:spacing w:val="-3"/>
          <w:sz w:val="21"/>
          <w:lang w:eastAsia="zh-CN"/>
        </w:rPr>
        <w:t>灰</w:t>
      </w:r>
      <w:r>
        <w:rPr>
          <w:rFonts w:ascii="宋体" w:eastAsia="宋体" w:hAnsi="宋体" w:hint="eastAsia"/>
          <w:sz w:val="21"/>
          <w:lang w:eastAsia="zh-CN"/>
        </w:rPr>
        <w:t>色，</w:t>
      </w:r>
      <w:r>
        <w:rPr>
          <w:rFonts w:ascii="宋体" w:eastAsia="宋体" w:hAnsi="宋体" w:hint="eastAsia"/>
          <w:spacing w:val="-3"/>
          <w:sz w:val="21"/>
          <w:lang w:eastAsia="zh-CN"/>
        </w:rPr>
        <w:t>不</w:t>
      </w:r>
      <w:r>
        <w:rPr>
          <w:rFonts w:ascii="宋体" w:eastAsia="宋体" w:hAnsi="宋体" w:hint="eastAsia"/>
          <w:sz w:val="21"/>
          <w:lang w:eastAsia="zh-CN"/>
        </w:rPr>
        <w:t>影</w:t>
      </w:r>
      <w:r>
        <w:rPr>
          <w:rFonts w:ascii="宋体" w:eastAsia="宋体" w:hAnsi="宋体" w:hint="eastAsia"/>
          <w:spacing w:val="-3"/>
          <w:sz w:val="21"/>
          <w:lang w:eastAsia="zh-CN"/>
        </w:rPr>
        <w:t>响</w:t>
      </w:r>
      <w:r>
        <w:rPr>
          <w:rFonts w:ascii="宋体" w:eastAsia="宋体" w:hAnsi="宋体" w:hint="eastAsia"/>
          <w:sz w:val="21"/>
          <w:lang w:eastAsia="zh-CN"/>
        </w:rPr>
        <w:t>使</w:t>
      </w:r>
      <w:r>
        <w:rPr>
          <w:rFonts w:ascii="宋体" w:eastAsia="宋体" w:hAnsi="宋体" w:hint="eastAsia"/>
          <w:spacing w:val="-3"/>
          <w:sz w:val="21"/>
          <w:lang w:eastAsia="zh-CN"/>
        </w:rPr>
        <w:t>用</w:t>
      </w:r>
      <w:r>
        <w:rPr>
          <w:rFonts w:ascii="宋体" w:eastAsia="宋体" w:hAnsi="宋体" w:hint="eastAsia"/>
          <w:sz w:val="21"/>
          <w:lang w:eastAsia="zh-CN"/>
        </w:rPr>
        <w:t>。</w:t>
      </w:r>
      <w:proofErr w:type="spellStart"/>
      <w:r>
        <w:rPr>
          <w:rFonts w:ascii="宋体" w:eastAsia="宋体" w:hAnsi="宋体" w:hint="eastAsia"/>
          <w:b/>
          <w:sz w:val="21"/>
        </w:rPr>
        <w:t>使用方法</w:t>
      </w:r>
      <w:proofErr w:type="spellEnd"/>
      <w:r>
        <w:rPr>
          <w:rFonts w:ascii="宋体" w:eastAsia="宋体" w:hAnsi="宋体" w:hint="eastAsia"/>
          <w:b/>
          <w:sz w:val="21"/>
        </w:rPr>
        <w:t>：</w:t>
      </w:r>
    </w:p>
    <w:p w:rsidR="00337686" w:rsidRDefault="00B97BBB">
      <w:pPr>
        <w:pStyle w:val="a4"/>
        <w:numPr>
          <w:ilvl w:val="0"/>
          <w:numId w:val="2"/>
        </w:numPr>
        <w:tabs>
          <w:tab w:val="left" w:pos="393"/>
        </w:tabs>
        <w:spacing w:line="247" w:lineRule="exact"/>
        <w:rPr>
          <w:rFonts w:ascii="宋体" w:eastAsia="宋体"/>
          <w:sz w:val="21"/>
        </w:rPr>
      </w:pPr>
      <w:proofErr w:type="spellStart"/>
      <w:proofErr w:type="gramStart"/>
      <w:r>
        <w:rPr>
          <w:rFonts w:ascii="宋体" w:eastAsia="宋体" w:hint="eastAsia"/>
          <w:spacing w:val="-3"/>
          <w:sz w:val="21"/>
        </w:rPr>
        <w:t>取出蛋白磷酸酶抑制剂混合物</w:t>
      </w:r>
      <w:proofErr w:type="spellEnd"/>
      <w:r>
        <w:rPr>
          <w:sz w:val="21"/>
        </w:rPr>
        <w:t>(</w:t>
      </w:r>
      <w:proofErr w:type="gramEnd"/>
      <w:r>
        <w:rPr>
          <w:sz w:val="21"/>
        </w:rPr>
        <w:t>All-in-One,</w:t>
      </w:r>
      <w:r>
        <w:rPr>
          <w:spacing w:val="-2"/>
          <w:sz w:val="21"/>
        </w:rPr>
        <w:t xml:space="preserve"> </w:t>
      </w:r>
      <w:r>
        <w:rPr>
          <w:sz w:val="21"/>
        </w:rPr>
        <w:t>100x)</w:t>
      </w:r>
      <w:r>
        <w:rPr>
          <w:rFonts w:ascii="宋体" w:eastAsia="宋体" w:hint="eastAsia"/>
          <w:spacing w:val="-2"/>
          <w:sz w:val="21"/>
        </w:rPr>
        <w:t>，</w:t>
      </w:r>
      <w:proofErr w:type="spellStart"/>
      <w:r>
        <w:rPr>
          <w:rFonts w:ascii="宋体" w:eastAsia="宋体" w:hint="eastAsia"/>
          <w:spacing w:val="-2"/>
          <w:sz w:val="21"/>
        </w:rPr>
        <w:t>振荡重悬</w:t>
      </w:r>
      <w:proofErr w:type="spellEnd"/>
      <w:r>
        <w:rPr>
          <w:rFonts w:ascii="宋体" w:eastAsia="宋体" w:hint="eastAsia"/>
          <w:spacing w:val="-2"/>
          <w:sz w:val="21"/>
        </w:rPr>
        <w:t>。</w:t>
      </w:r>
    </w:p>
    <w:p w:rsidR="00337686" w:rsidRDefault="00B97BBB">
      <w:pPr>
        <w:pStyle w:val="a4"/>
        <w:numPr>
          <w:ilvl w:val="0"/>
          <w:numId w:val="2"/>
        </w:numPr>
        <w:tabs>
          <w:tab w:val="left" w:pos="393"/>
        </w:tabs>
        <w:spacing w:before="43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按照</w:t>
      </w:r>
      <w:r>
        <w:rPr>
          <w:sz w:val="21"/>
          <w:lang w:eastAsia="zh-CN"/>
        </w:rPr>
        <w:t>1:99</w:t>
      </w:r>
      <w:r>
        <w:rPr>
          <w:rFonts w:ascii="宋体" w:eastAsia="宋体" w:hint="eastAsia"/>
          <w:spacing w:val="-3"/>
          <w:sz w:val="21"/>
          <w:lang w:eastAsia="zh-CN"/>
        </w:rPr>
        <w:t>比例，加入组织或细胞裂解液中，混合均匀</w:t>
      </w:r>
      <w:r>
        <w:rPr>
          <w:rFonts w:ascii="宋体" w:eastAsia="宋体" w:hint="eastAsia"/>
          <w:spacing w:val="-3"/>
          <w:sz w:val="21"/>
          <w:lang w:eastAsia="zh-CN"/>
        </w:rPr>
        <w:t xml:space="preserve"> </w:t>
      </w:r>
      <w:r>
        <w:rPr>
          <w:rFonts w:ascii="宋体" w:eastAsia="宋体" w:hint="eastAsia"/>
          <w:spacing w:val="-3"/>
          <w:sz w:val="21"/>
          <w:lang w:eastAsia="zh-CN"/>
        </w:rPr>
        <w:t>。</w:t>
      </w:r>
    </w:p>
    <w:p w:rsidR="00337686" w:rsidRDefault="00337686">
      <w:pPr>
        <w:pStyle w:val="a3"/>
        <w:spacing w:before="9"/>
        <w:rPr>
          <w:rFonts w:ascii="宋体"/>
          <w:sz w:val="27"/>
          <w:lang w:eastAsia="zh-CN"/>
        </w:rPr>
      </w:pPr>
    </w:p>
    <w:p w:rsidR="00337686" w:rsidRDefault="00B97BBB">
      <w:pPr>
        <w:pStyle w:val="a3"/>
        <w:ind w:left="114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以下列举部分使用普利</w:t>
      </w:r>
      <w:proofErr w:type="gramStart"/>
      <w:r>
        <w:rPr>
          <w:rFonts w:ascii="宋体" w:eastAsia="宋体" w:hint="eastAsia"/>
          <w:lang w:eastAsia="zh-CN"/>
        </w:rPr>
        <w:t>莱</w:t>
      </w:r>
      <w:proofErr w:type="gramEnd"/>
      <w:r>
        <w:rPr>
          <w:rFonts w:ascii="宋体" w:eastAsia="宋体" w:hint="eastAsia"/>
          <w:lang w:eastAsia="zh-CN"/>
        </w:rPr>
        <w:t>蛋白磷酸酶抑制</w:t>
      </w:r>
      <w:proofErr w:type="gramStart"/>
      <w:r>
        <w:rPr>
          <w:rFonts w:ascii="宋体" w:eastAsia="宋体" w:hint="eastAsia"/>
          <w:lang w:eastAsia="zh-CN"/>
        </w:rPr>
        <w:t>剂发表</w:t>
      </w:r>
      <w:proofErr w:type="gramEnd"/>
      <w:r>
        <w:rPr>
          <w:rFonts w:ascii="宋体" w:eastAsia="宋体" w:hint="eastAsia"/>
          <w:lang w:eastAsia="zh-CN"/>
        </w:rPr>
        <w:t>的</w:t>
      </w:r>
      <w:r>
        <w:rPr>
          <w:lang w:eastAsia="zh-CN"/>
        </w:rPr>
        <w:t>SCI</w:t>
      </w:r>
      <w:r>
        <w:rPr>
          <w:rFonts w:ascii="宋体" w:eastAsia="宋体" w:hint="eastAsia"/>
          <w:lang w:eastAsia="zh-CN"/>
        </w:rPr>
        <w:t>文章供参考：</w:t>
      </w:r>
    </w:p>
    <w:p w:rsidR="00337686" w:rsidRDefault="00B97BBB">
      <w:pPr>
        <w:pStyle w:val="a3"/>
        <w:spacing w:before="53" w:line="307" w:lineRule="auto"/>
        <w:ind w:left="474" w:right="470" w:hanging="360"/>
      </w:pPr>
      <w:r>
        <w:rPr>
          <w:sz w:val="18"/>
        </w:rPr>
        <w:t>1</w:t>
      </w:r>
      <w:r>
        <w:rPr>
          <w:rFonts w:ascii="宋体" w:eastAsia="宋体" w:hint="eastAsia"/>
          <w:sz w:val="18"/>
        </w:rPr>
        <w:t>、</w:t>
      </w:r>
      <w:r>
        <w:rPr>
          <w:rFonts w:ascii="宋体" w:eastAsia="宋体" w:hint="eastAsia"/>
          <w:sz w:val="18"/>
        </w:rPr>
        <w:t xml:space="preserve"> </w:t>
      </w:r>
      <w:r>
        <w:rPr>
          <w:color w:val="212121"/>
        </w:rPr>
        <w:t xml:space="preserve">Zhu L, Wang Z, Lin Y, et al. Sphingosine kinase 1 </w:t>
      </w:r>
      <w:r>
        <w:rPr>
          <w:color w:val="212121"/>
        </w:rPr>
        <w:t xml:space="preserve">enhances the invasion and migration of non-small cell lung cancer cells via the AKT </w:t>
      </w:r>
      <w:proofErr w:type="gramStart"/>
      <w:r>
        <w:rPr>
          <w:color w:val="212121"/>
        </w:rPr>
        <w:t>pathway[</w:t>
      </w:r>
      <w:proofErr w:type="gramEnd"/>
      <w:r>
        <w:rPr>
          <w:color w:val="212121"/>
        </w:rPr>
        <w:t>J]. Oncology reports, 2015, 33(3): 1257-1263.</w:t>
      </w:r>
    </w:p>
    <w:p w:rsidR="00337686" w:rsidRDefault="00B97BBB">
      <w:pPr>
        <w:pStyle w:val="a3"/>
        <w:spacing w:before="3" w:line="307" w:lineRule="auto"/>
        <w:ind w:left="474" w:hanging="360"/>
      </w:pPr>
      <w:r>
        <w:rPr>
          <w:sz w:val="18"/>
        </w:rPr>
        <w:t>2</w:t>
      </w:r>
      <w:r>
        <w:rPr>
          <w:rFonts w:ascii="宋体" w:eastAsia="宋体" w:hint="eastAsia"/>
          <w:spacing w:val="-6"/>
          <w:sz w:val="18"/>
        </w:rPr>
        <w:t>、</w:t>
      </w:r>
      <w:r>
        <w:rPr>
          <w:rFonts w:ascii="宋体" w:eastAsia="宋体" w:hint="eastAsia"/>
          <w:spacing w:val="-6"/>
          <w:sz w:val="18"/>
        </w:rPr>
        <w:t xml:space="preserve"> </w:t>
      </w:r>
      <w:r>
        <w:rPr>
          <w:color w:val="212121"/>
        </w:rPr>
        <w:t xml:space="preserve">Zhou </w:t>
      </w:r>
      <w:r>
        <w:rPr>
          <w:color w:val="212121"/>
          <w:spacing w:val="-15"/>
        </w:rPr>
        <w:t>Y</w:t>
      </w:r>
      <w:r>
        <w:rPr>
          <w:color w:val="212121"/>
          <w:spacing w:val="-10"/>
        </w:rPr>
        <w:t xml:space="preserve">, </w:t>
      </w:r>
      <w:r>
        <w:rPr>
          <w:color w:val="212121"/>
        </w:rPr>
        <w:t>Hu Z, Li N</w:t>
      </w:r>
      <w:r>
        <w:rPr>
          <w:color w:val="212121"/>
          <w:spacing w:val="-3"/>
        </w:rPr>
        <w:t xml:space="preserve">, </w:t>
      </w:r>
      <w:r>
        <w:rPr>
          <w:color w:val="212121"/>
        </w:rPr>
        <w:t>et al</w:t>
      </w:r>
      <w:r>
        <w:rPr>
          <w:color w:val="212121"/>
          <w:spacing w:val="-3"/>
        </w:rPr>
        <w:t xml:space="preserve">. </w:t>
      </w:r>
      <w:r>
        <w:rPr>
          <w:color w:val="212121"/>
        </w:rPr>
        <w:t>Interleukin-32 stimulates osteosarcoma cell invasion and motility via AKT pathway-mediat</w:t>
      </w:r>
      <w:r>
        <w:rPr>
          <w:color w:val="212121"/>
        </w:rPr>
        <w:t xml:space="preserve">ed MMP-13 </w:t>
      </w:r>
      <w:proofErr w:type="gramStart"/>
      <w:r>
        <w:rPr>
          <w:color w:val="212121"/>
        </w:rPr>
        <w:t>expression[</w:t>
      </w:r>
      <w:proofErr w:type="gramEnd"/>
      <w:r>
        <w:rPr>
          <w:color w:val="212121"/>
        </w:rPr>
        <w:t>J]. International journal of molecular medicine, 2015, 35(6): 1729-1733.</w:t>
      </w:r>
    </w:p>
    <w:p w:rsidR="00337686" w:rsidRDefault="00B97BBB">
      <w:pPr>
        <w:pStyle w:val="a3"/>
        <w:spacing w:before="3" w:line="307" w:lineRule="auto"/>
        <w:ind w:left="474" w:right="580" w:hanging="360"/>
      </w:pPr>
      <w:r>
        <w:rPr>
          <w:sz w:val="18"/>
        </w:rPr>
        <w:t>3</w:t>
      </w:r>
      <w:r>
        <w:rPr>
          <w:rFonts w:ascii="宋体" w:eastAsia="宋体" w:hint="eastAsia"/>
          <w:sz w:val="18"/>
        </w:rPr>
        <w:t>、</w:t>
      </w:r>
      <w:r>
        <w:rPr>
          <w:rFonts w:ascii="宋体" w:eastAsia="宋体" w:hint="eastAsia"/>
          <w:sz w:val="18"/>
        </w:rPr>
        <w:t xml:space="preserve"> </w:t>
      </w:r>
      <w:r>
        <w:rPr>
          <w:color w:val="212121"/>
        </w:rPr>
        <w:t>Pu Y, Wang L, Wu H, et al. High MMP-21 expression in metastatic lymph nodes predicts unfavorable overall survival for oral squamous cell carcinoma patients wit</w:t>
      </w:r>
      <w:r>
        <w:rPr>
          <w:color w:val="212121"/>
        </w:rPr>
        <w:t xml:space="preserve">h lymphatic </w:t>
      </w:r>
      <w:proofErr w:type="gramStart"/>
      <w:r>
        <w:rPr>
          <w:color w:val="212121"/>
        </w:rPr>
        <w:t>metastasis[</w:t>
      </w:r>
      <w:proofErr w:type="gramEnd"/>
      <w:r>
        <w:rPr>
          <w:color w:val="212121"/>
        </w:rPr>
        <w:t>J]. Oncology reports, 2014, 31(6): 2644-2650.</w:t>
      </w:r>
    </w:p>
    <w:p w:rsidR="00337686" w:rsidRDefault="00B97BBB">
      <w:pPr>
        <w:pStyle w:val="a3"/>
        <w:spacing w:before="3" w:line="302" w:lineRule="auto"/>
        <w:ind w:left="474" w:hanging="360"/>
      </w:pPr>
      <w:r>
        <w:rPr>
          <w:sz w:val="18"/>
        </w:rPr>
        <w:t>4</w:t>
      </w:r>
      <w:r>
        <w:rPr>
          <w:rFonts w:ascii="宋体" w:eastAsia="宋体" w:hint="eastAsia"/>
          <w:sz w:val="18"/>
        </w:rPr>
        <w:t>、</w:t>
      </w:r>
      <w:r>
        <w:rPr>
          <w:rFonts w:ascii="宋体" w:eastAsia="宋体" w:hint="eastAsia"/>
          <w:sz w:val="18"/>
        </w:rPr>
        <w:t xml:space="preserve"> </w:t>
      </w:r>
      <w:r>
        <w:rPr>
          <w:color w:val="212121"/>
        </w:rPr>
        <w:t xml:space="preserve">Cheng Z, Li-Sha G, Jing-Lin Z, et al. Protective Role of the Cholinergic Anti-Inflammatory Pathway in a Mouse Model of Viral </w:t>
      </w:r>
      <w:proofErr w:type="gramStart"/>
      <w:r>
        <w:rPr>
          <w:color w:val="212121"/>
        </w:rPr>
        <w:t>Myocarditis[</w:t>
      </w:r>
      <w:proofErr w:type="gramEnd"/>
      <w:r>
        <w:rPr>
          <w:color w:val="212121"/>
        </w:rPr>
        <w:t xml:space="preserve">J]. </w:t>
      </w:r>
      <w:proofErr w:type="spellStart"/>
      <w:r>
        <w:rPr>
          <w:color w:val="212121"/>
        </w:rPr>
        <w:t>PloS</w:t>
      </w:r>
      <w:proofErr w:type="spellEnd"/>
      <w:r>
        <w:rPr>
          <w:color w:val="212121"/>
        </w:rPr>
        <w:t xml:space="preserve"> one, 2014, 9(11): e112719.</w:t>
      </w:r>
    </w:p>
    <w:p w:rsidR="00337686" w:rsidRDefault="00B97BBB">
      <w:pPr>
        <w:pStyle w:val="a3"/>
        <w:spacing w:before="9" w:line="307" w:lineRule="auto"/>
        <w:ind w:left="474" w:right="125" w:hanging="360"/>
      </w:pPr>
      <w:r>
        <w:rPr>
          <w:sz w:val="18"/>
        </w:rPr>
        <w:t>5</w:t>
      </w:r>
      <w:r>
        <w:rPr>
          <w:rFonts w:ascii="宋体" w:eastAsia="宋体" w:hint="eastAsia"/>
          <w:sz w:val="18"/>
        </w:rPr>
        <w:t>、</w:t>
      </w:r>
      <w:r>
        <w:rPr>
          <w:rFonts w:ascii="宋体" w:eastAsia="宋体" w:hint="eastAsia"/>
          <w:sz w:val="18"/>
        </w:rPr>
        <w:t xml:space="preserve"> </w:t>
      </w:r>
      <w:r>
        <w:rPr>
          <w:color w:val="212121"/>
        </w:rPr>
        <w:t>Yang J D</w:t>
      </w:r>
      <w:r>
        <w:rPr>
          <w:color w:val="212121"/>
        </w:rPr>
        <w:t xml:space="preserve">, Wang J C, Feng X M, et al. The isolation and cultivation of bone marrow stem cells and evaluation of differences for neural-like cells differentiation under the induction with neurotrophic </w:t>
      </w:r>
      <w:proofErr w:type="gramStart"/>
      <w:r>
        <w:rPr>
          <w:color w:val="212121"/>
        </w:rPr>
        <w:t>factors[</w:t>
      </w:r>
      <w:proofErr w:type="gramEnd"/>
      <w:r>
        <w:rPr>
          <w:color w:val="212121"/>
        </w:rPr>
        <w:t xml:space="preserve">J]. </w:t>
      </w:r>
      <w:proofErr w:type="spellStart"/>
      <w:r>
        <w:rPr>
          <w:color w:val="212121"/>
        </w:rPr>
        <w:t>Cytotechnology</w:t>
      </w:r>
      <w:proofErr w:type="spellEnd"/>
      <w:r>
        <w:rPr>
          <w:color w:val="212121"/>
        </w:rPr>
        <w:t>, 2014, 66(6): 1007-1019.</w:t>
      </w:r>
    </w:p>
    <w:p w:rsidR="00337686" w:rsidRDefault="00B97BBB">
      <w:pPr>
        <w:pStyle w:val="a3"/>
        <w:spacing w:before="3" w:line="307" w:lineRule="auto"/>
        <w:ind w:left="474" w:right="489" w:hanging="360"/>
      </w:pPr>
      <w:r>
        <w:rPr>
          <w:sz w:val="18"/>
        </w:rPr>
        <w:t xml:space="preserve">6 </w:t>
      </w:r>
      <w:r>
        <w:rPr>
          <w:rFonts w:ascii="宋体" w:eastAsia="宋体" w:hint="eastAsia"/>
          <w:sz w:val="18"/>
        </w:rPr>
        <w:t>、</w:t>
      </w:r>
      <w:r>
        <w:rPr>
          <w:rFonts w:ascii="宋体" w:eastAsia="宋体" w:hint="eastAsia"/>
          <w:sz w:val="18"/>
        </w:rPr>
        <w:t xml:space="preserve"> </w:t>
      </w:r>
      <w:r>
        <w:rPr>
          <w:color w:val="212121"/>
        </w:rPr>
        <w:t>Fang X, G</w:t>
      </w:r>
      <w:r>
        <w:rPr>
          <w:color w:val="212121"/>
        </w:rPr>
        <w:t xml:space="preserve">ao G, </w:t>
      </w:r>
      <w:proofErr w:type="spellStart"/>
      <w:r>
        <w:rPr>
          <w:color w:val="212121"/>
        </w:rPr>
        <w:t>Xue</w:t>
      </w:r>
      <w:proofErr w:type="spellEnd"/>
      <w:r>
        <w:rPr>
          <w:color w:val="212121"/>
        </w:rPr>
        <w:t xml:space="preserve"> H, et al. Exposure of </w:t>
      </w:r>
      <w:proofErr w:type="spellStart"/>
      <w:r>
        <w:rPr>
          <w:color w:val="212121"/>
        </w:rPr>
        <w:t>perfluorononanoic</w:t>
      </w:r>
      <w:proofErr w:type="spellEnd"/>
      <w:r>
        <w:rPr>
          <w:color w:val="212121"/>
        </w:rPr>
        <w:t xml:space="preserve"> acid suppresses the hepatic insulin signal pathway and increases serum glucose in </w:t>
      </w:r>
      <w:proofErr w:type="gramStart"/>
      <w:r>
        <w:rPr>
          <w:color w:val="212121"/>
        </w:rPr>
        <w:t>rats[</w:t>
      </w:r>
      <w:proofErr w:type="gramEnd"/>
      <w:r>
        <w:rPr>
          <w:color w:val="212121"/>
        </w:rPr>
        <w:t>J]. Toxicology, 2012, 294(2): 109-115.</w:t>
      </w:r>
    </w:p>
    <w:p w:rsidR="00337686" w:rsidRDefault="00337686">
      <w:pPr>
        <w:pStyle w:val="a3"/>
        <w:spacing w:before="5"/>
        <w:rPr>
          <w:sz w:val="23"/>
        </w:rPr>
      </w:pPr>
    </w:p>
    <w:p w:rsidR="00337686" w:rsidRDefault="00337686">
      <w:pPr>
        <w:rPr>
          <w:sz w:val="23"/>
        </w:rPr>
        <w:sectPr w:rsidR="00337686">
          <w:type w:val="continuous"/>
          <w:pgSz w:w="11910" w:h="16840"/>
          <w:pgMar w:top="780" w:right="1260" w:bottom="280" w:left="1360" w:header="720" w:footer="720" w:gutter="0"/>
          <w:cols w:space="720"/>
        </w:sectPr>
      </w:pPr>
    </w:p>
    <w:p w:rsidR="00337686" w:rsidRDefault="00B97BBB">
      <w:pPr>
        <w:spacing w:before="124"/>
        <w:ind w:left="114"/>
        <w:rPr>
          <w:sz w:val="18"/>
        </w:rPr>
      </w:pPr>
      <w:proofErr w:type="spellStart"/>
      <w:r>
        <w:rPr>
          <w:sz w:val="18"/>
        </w:rPr>
        <w:t>Applygen</w:t>
      </w:r>
      <w:proofErr w:type="spellEnd"/>
      <w:r>
        <w:rPr>
          <w:sz w:val="18"/>
        </w:rPr>
        <w:t xml:space="preserve"> Technologies Inc.</w:t>
      </w:r>
    </w:p>
    <w:p w:rsidR="00337686" w:rsidRDefault="00B97BBB">
      <w:pPr>
        <w:pStyle w:val="a3"/>
        <w:spacing w:before="3"/>
        <w:rPr>
          <w:sz w:val="17"/>
        </w:rPr>
      </w:pPr>
      <w:r>
        <w:br w:type="column"/>
      </w:r>
    </w:p>
    <w:p w:rsidR="00337686" w:rsidRDefault="00B97BBB">
      <w:pPr>
        <w:spacing w:before="1"/>
        <w:ind w:left="114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Page 1 of 1</w:t>
      </w:r>
    </w:p>
    <w:p w:rsidR="00337686" w:rsidRDefault="00B97BBB">
      <w:pPr>
        <w:spacing w:before="124"/>
        <w:ind w:left="114"/>
        <w:rPr>
          <w:sz w:val="18"/>
        </w:rPr>
      </w:pPr>
      <w:r>
        <w:br w:type="column"/>
      </w:r>
      <w:proofErr w:type="spellStart"/>
      <w:r>
        <w:rPr>
          <w:sz w:val="18"/>
        </w:rPr>
        <w:t>DocRev</w:t>
      </w:r>
      <w:proofErr w:type="spellEnd"/>
      <w:r>
        <w:rPr>
          <w:sz w:val="18"/>
        </w:rPr>
        <w:t>: 201910</w:t>
      </w:r>
    </w:p>
    <w:sectPr w:rsidR="00337686">
      <w:type w:val="continuous"/>
      <w:pgSz w:w="11910" w:h="16840"/>
      <w:pgMar w:top="780" w:right="1260" w:bottom="280" w:left="1360" w:header="720" w:footer="720" w:gutter="0"/>
      <w:cols w:num="3" w:space="720" w:equalWidth="0">
        <w:col w:w="2365" w:space="2042"/>
        <w:col w:w="982" w:space="2230"/>
        <w:col w:w="1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392" w:hanging="279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288" w:hanging="27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177" w:hanging="27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65" w:hanging="27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54" w:hanging="2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3" w:hanging="2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31" w:hanging="2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20" w:hanging="2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09" w:hanging="279"/>
      </w:pPr>
      <w:rPr>
        <w:rFonts w:hint="default"/>
        <w:lang w:val="en-US" w:eastAsia="en-US" w:bidi="en-US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15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216" w:hanging="202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113" w:hanging="20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09" w:hanging="20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6" w:hanging="20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3" w:hanging="20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99" w:hanging="20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96" w:hanging="20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93" w:hanging="20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savePreviewPicture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7686"/>
    <w:rsid w:val="00337686"/>
    <w:rsid w:val="00B97BBB"/>
    <w:rsid w:val="7A63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801D9E5-6A62-4663-A272-4531663B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315" w:hanging="2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_applygen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Hipure RNA kit说明书</dc:title>
  <dc:creator>Xu GH</dc:creator>
  <cp:lastModifiedBy>2nd-Xu</cp:lastModifiedBy>
  <cp:revision>2</cp:revision>
  <dcterms:created xsi:type="dcterms:W3CDTF">2020-09-29T07:20:00Z</dcterms:created>
  <dcterms:modified xsi:type="dcterms:W3CDTF">2020-09-29T07:29:00Z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2020-09-29T00:00:00Z</vt:filetime>
  </property>
  <property fmtid="{D5CDD505-2E9C-101B-9397-08002B2CF9AE}" pid="5" name="KSOProductBuildVer">
    <vt:lpwstr>2052-11.1.0.9999</vt:lpwstr>
  </property>
</Properties>
</file>