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48"/>
          <w:tab w:val="left" w:pos="6876"/>
        </w:tabs>
        <w:spacing w:before="53"/>
        <w:ind w:left="114" w:right="0" w:firstLine="0"/>
        <w:jc w:val="left"/>
        <w:rPr>
          <w:rFonts w:ascii="Times New Roman" w:eastAsia="Times New Roman"/>
          <w:sz w:val="18"/>
        </w:rPr>
      </w:pPr>
      <w:r>
        <w:pict>
          <v:line id="_x0000_s1026" o:spid="_x0000_s1026" o:spt="20" style="position:absolute;left:0pt;margin-left:73.7pt;margin-top:12.95pt;height:0pt;width:447.9pt;mso-position-horizontal-relative:page;z-index:251658240;mso-width-relative:page;mso-height-relative:page;" stroked="t" coordsize="21600,21600">
            <v:path arrowok="t"/>
            <v:fill focussize="0,0"/>
            <v:stroke weight="0.48pt" color="#000000"/>
            <v:imagedata o:title=""/>
            <o:lock v:ext="edit"/>
          </v:line>
        </w:pict>
      </w:r>
      <w:r>
        <w:rPr>
          <w:sz w:val="18"/>
        </w:rPr>
        <w:t>北京普利莱基因技术有限公司</w:t>
      </w:r>
      <w:r>
        <w:rPr>
          <w:sz w:val="18"/>
        </w:rPr>
        <w:tab/>
      </w:r>
      <w:r>
        <w:rPr>
          <w:sz w:val="18"/>
        </w:rPr>
        <w:t>电话</w:t>
      </w:r>
      <w:r>
        <w:rPr>
          <w:spacing w:val="-5"/>
          <w:sz w:val="18"/>
        </w:rPr>
        <w:t>：</w:t>
      </w:r>
      <w:r>
        <w:rPr>
          <w:rFonts w:ascii="Times New Roman" w:eastAsia="Times New Roman"/>
          <w:spacing w:val="-5"/>
          <w:sz w:val="18"/>
        </w:rPr>
        <w:t>010-62027915,</w:t>
      </w:r>
      <w:r>
        <w:rPr>
          <w:rFonts w:ascii="Times New Roman" w:eastAsia="Times New Roman"/>
          <w:spacing w:val="2"/>
          <w:sz w:val="18"/>
        </w:rPr>
        <w:t xml:space="preserve"> </w:t>
      </w:r>
      <w:r>
        <w:rPr>
          <w:rFonts w:ascii="Times New Roman" w:eastAsia="Times New Roman"/>
          <w:sz w:val="18"/>
        </w:rPr>
        <w:t>62053186</w:t>
      </w:r>
      <w:r>
        <w:rPr>
          <w:rFonts w:ascii="Times New Roman" w:eastAsia="Times New Roman"/>
          <w:sz w:val="18"/>
        </w:rPr>
        <w:tab/>
      </w:r>
      <w:r>
        <w:rPr>
          <w:rFonts w:ascii="Times New Roman" w:eastAsia="Times New Roman"/>
          <w:sz w:val="18"/>
        </w:rPr>
        <w:t>Email:</w:t>
      </w:r>
      <w:r>
        <w:rPr>
          <w:rFonts w:ascii="Times New Roman" w:eastAsia="Times New Roman"/>
          <w:spacing w:val="-2"/>
          <w:sz w:val="18"/>
        </w:rPr>
        <w:t xml:space="preserve"> </w:t>
      </w:r>
      <w:r>
        <w:fldChar w:fldCharType="begin"/>
      </w:r>
      <w:r>
        <w:instrText xml:space="preserve"> HYPERLINK "mailto:sale@applygen.com.cn" \h </w:instrText>
      </w:r>
      <w:r>
        <w:fldChar w:fldCharType="separate"/>
      </w:r>
      <w:r>
        <w:rPr>
          <w:rFonts w:ascii="Times New Roman" w:eastAsia="Times New Roman"/>
          <w:sz w:val="18"/>
        </w:rPr>
        <w:t>sale@applygen.com.cn</w:t>
      </w:r>
      <w:r>
        <w:rPr>
          <w:rFonts w:ascii="Times New Roman" w:eastAsia="Times New Roman"/>
          <w:sz w:val="18"/>
        </w:rPr>
        <w:fldChar w:fldCharType="end"/>
      </w:r>
    </w:p>
    <w:p>
      <w:pPr>
        <w:pStyle w:val="3"/>
        <w:rPr>
          <w:rFonts w:ascii="Times New Roman"/>
          <w:sz w:val="20"/>
        </w:rPr>
      </w:pPr>
    </w:p>
    <w:p>
      <w:pPr>
        <w:tabs>
          <w:tab w:val="left" w:pos="7725"/>
        </w:tabs>
        <w:spacing w:before="259"/>
        <w:ind w:left="394" w:right="0" w:firstLine="1124" w:firstLineChars="400"/>
        <w:jc w:val="both"/>
        <w:rPr>
          <w:rFonts w:hint="eastAsia" w:ascii="Arial" w:hAnsi="Arial"/>
          <w:b/>
          <w:sz w:val="28"/>
          <w:lang w:val="en-US" w:eastAsia="zh-CN"/>
        </w:rPr>
      </w:pPr>
      <w:r>
        <w:rPr>
          <w:rFonts w:hint="eastAsia"/>
          <w:b/>
          <w:sz w:val="28"/>
        </w:rPr>
        <w:t>蛋白酶抑制剂混合物 哺乳动物专用</w:t>
      </w:r>
      <w:r>
        <w:rPr>
          <w:rFonts w:hint="eastAsia"/>
          <w:b/>
          <w:sz w:val="28"/>
          <w:lang w:val="en-US" w:eastAsia="zh-CN"/>
        </w:rPr>
        <w:t xml:space="preserve">    </w:t>
      </w:r>
      <w:r>
        <w:rPr>
          <w:rFonts w:ascii="Arial" w:hAnsi="Arial"/>
          <w:b/>
          <w:sz w:val="28"/>
        </w:rPr>
        <w:t>P126</w:t>
      </w:r>
      <w:r>
        <w:rPr>
          <w:rFonts w:hint="eastAsia" w:ascii="Arial" w:hAnsi="Arial"/>
          <w:b/>
          <w:sz w:val="28"/>
          <w:lang w:val="en-US" w:eastAsia="zh-CN"/>
        </w:rPr>
        <w:t>6</w:t>
      </w:r>
    </w:p>
    <w:p>
      <w:pPr>
        <w:tabs>
          <w:tab w:val="left" w:pos="7725"/>
        </w:tabs>
        <w:spacing w:before="259"/>
        <w:ind w:left="394" w:right="0" w:firstLine="1405" w:firstLineChars="500"/>
        <w:jc w:val="both"/>
        <w:rPr>
          <w:rFonts w:hint="eastAsia" w:ascii="Arial" w:hAnsi="Arial" w:eastAsia="宋体"/>
          <w:b/>
          <w:sz w:val="28"/>
          <w:lang w:val="en-US" w:eastAsia="zh-CN"/>
        </w:rPr>
      </w:pPr>
      <w:r>
        <w:rPr>
          <w:rFonts w:hint="eastAsia"/>
          <w:b/>
          <w:sz w:val="28"/>
        </w:rPr>
        <w:t xml:space="preserve">(Protease inhibitor ,Cocktail ,50x) </w:t>
      </w:r>
      <w:bookmarkStart w:id="0" w:name="_GoBack"/>
      <w:bookmarkEnd w:id="0"/>
    </w:p>
    <w:p>
      <w:pPr>
        <w:pStyle w:val="3"/>
        <w:spacing w:before="5"/>
        <w:rPr>
          <w:rFonts w:ascii="Arial"/>
          <w:b/>
          <w:sz w:val="40"/>
        </w:rPr>
      </w:pPr>
    </w:p>
    <w:p>
      <w:pPr>
        <w:pStyle w:val="3"/>
        <w:spacing w:before="1" w:line="417" w:lineRule="auto"/>
        <w:ind w:left="114" w:right="101"/>
      </w:pPr>
      <w:r>
        <w:rPr>
          <w:b/>
        </w:rPr>
        <w:t>描述</w:t>
      </w:r>
      <w:r>
        <w:rPr>
          <w:rFonts w:ascii="Arial" w:eastAsia="Arial"/>
          <w:b/>
          <w:spacing w:val="3"/>
        </w:rPr>
        <w:t xml:space="preserve">:  </w:t>
      </w:r>
      <w:r>
        <w:rPr>
          <w:spacing w:val="-7"/>
        </w:rPr>
        <w:t>当细胞破碎的时候，蛋白水解酶就会被释放出来或被激活，使电泳结果复杂化，影响最终结</w:t>
      </w:r>
      <w:r>
        <w:rPr>
          <w:spacing w:val="-17"/>
        </w:rPr>
        <w:t>果分析。为了避免这些情况的出现，建议在样品制备时尽可能在低温操作。此外，许多蛋白酶在</w:t>
      </w:r>
      <w:r>
        <w:rPr>
          <w:rFonts w:ascii="Times New Roman" w:eastAsia="Times New Roman"/>
        </w:rPr>
        <w:t xml:space="preserve">pH9 </w:t>
      </w:r>
      <w:r>
        <w:rPr>
          <w:spacing w:val="-3"/>
        </w:rPr>
        <w:t>以上会失活，因此</w:t>
      </w:r>
      <w:r>
        <w:rPr>
          <w:rFonts w:ascii="Times New Roman" w:eastAsia="Times New Roman"/>
          <w:spacing w:val="-3"/>
        </w:rPr>
        <w:t>Tris</w:t>
      </w:r>
      <w:r>
        <w:rPr>
          <w:spacing w:val="-3"/>
        </w:rPr>
        <w:t>碱、碳酸钠、碱性载体、两性电解质等往往能抑制蛋白水解，但是有些蛋白</w:t>
      </w:r>
      <w:r>
        <w:rPr>
          <w:spacing w:val="-12"/>
        </w:rPr>
        <w:t xml:space="preserve">酶在上述条件下仍然保持着活性，此时应当使用蛋白酶抑制剂。因此对于我们想要研究的蛋白来说， </w:t>
      </w:r>
      <w:r>
        <w:rPr>
          <w:spacing w:val="-6"/>
        </w:rPr>
        <w:t>选择性和有效地抑制相应蛋白酶活性对于蛋白纯化路线设计来说显得尤为重要。</w:t>
      </w:r>
    </w:p>
    <w:p>
      <w:pPr>
        <w:pStyle w:val="3"/>
        <w:rPr>
          <w:sz w:val="20"/>
        </w:rPr>
      </w:pPr>
    </w:p>
    <w:p>
      <w:pPr>
        <w:pStyle w:val="3"/>
        <w:spacing w:before="6"/>
        <w:rPr>
          <w:sz w:val="16"/>
        </w:rPr>
      </w:pPr>
    </w:p>
    <w:p>
      <w:pPr>
        <w:pStyle w:val="3"/>
        <w:spacing w:line="417" w:lineRule="auto"/>
        <w:ind w:left="114" w:right="207"/>
      </w:pPr>
      <w:r>
        <w:rPr>
          <w:b/>
          <w:spacing w:val="-9"/>
        </w:rPr>
        <w:t>适用：</w:t>
      </w:r>
      <w:r>
        <w:rPr>
          <w:spacing w:val="-6"/>
        </w:rPr>
        <w:t>此抑制剂混合物适用于在提取哺乳动物细胞、组织蛋白的过程中抑制蛋白酶的活性，更高效</w:t>
      </w:r>
      <w:r>
        <w:rPr>
          <w:spacing w:val="-4"/>
        </w:rPr>
        <w:t>的提取目的蛋白。</w:t>
      </w:r>
    </w:p>
    <w:p>
      <w:pPr>
        <w:pStyle w:val="3"/>
        <w:spacing w:before="11"/>
      </w:pPr>
    </w:p>
    <w:p>
      <w:pPr>
        <w:pStyle w:val="3"/>
        <w:spacing w:line="417" w:lineRule="auto"/>
        <w:ind w:left="114" w:right="103"/>
      </w:pPr>
      <w:r>
        <w:rPr>
          <w:b/>
        </w:rPr>
        <w:t>组成</w:t>
      </w:r>
      <w:r>
        <w:rPr>
          <w:rFonts w:ascii="Times New Roman" w:eastAsia="Times New Roman"/>
          <w:b/>
          <w:spacing w:val="4"/>
        </w:rPr>
        <w:t xml:space="preserve">: </w:t>
      </w:r>
      <w:r>
        <w:rPr>
          <w:spacing w:val="-11"/>
        </w:rPr>
        <w:t xml:space="preserve">该混合物为 </w:t>
      </w:r>
      <w:r>
        <w:rPr>
          <w:rFonts w:ascii="Times New Roman" w:eastAsia="Times New Roman"/>
        </w:rPr>
        <w:t xml:space="preserve">50 </w:t>
      </w:r>
      <w:r>
        <w:rPr>
          <w:spacing w:val="-20"/>
        </w:rPr>
        <w:t xml:space="preserve">倍浓缩溶液，包含 </w:t>
      </w:r>
      <w:r>
        <w:rPr>
          <w:rFonts w:ascii="Times New Roman" w:eastAsia="Times New Roman"/>
        </w:rPr>
        <w:t xml:space="preserve">5 </w:t>
      </w:r>
      <w:r>
        <w:rPr>
          <w:spacing w:val="-12"/>
        </w:rPr>
        <w:t>种独立的蛋白酶抑制剂，包括胃蛋白酶抑制剂</w:t>
      </w:r>
      <w:r>
        <w:rPr>
          <w:rFonts w:ascii="Times New Roman" w:eastAsia="Times New Roman"/>
        </w:rPr>
        <w:t>(pepstantin)</w:t>
      </w:r>
      <w:r>
        <w:t>、</w:t>
      </w:r>
      <w:r>
        <w:rPr>
          <w:spacing w:val="-2"/>
        </w:rPr>
        <w:t>亮抑蛋白酶肽</w:t>
      </w:r>
      <w:r>
        <w:rPr>
          <w:rFonts w:ascii="Times New Roman" w:eastAsia="Times New Roman"/>
        </w:rPr>
        <w:t>(leupeptin)</w:t>
      </w:r>
      <w:r>
        <w:rPr>
          <w:spacing w:val="-3"/>
        </w:rPr>
        <w:t>、胰蛋白酶抑制剂</w:t>
      </w:r>
      <w:r>
        <w:rPr>
          <w:rFonts w:ascii="Times New Roman" w:eastAsia="Times New Roman"/>
        </w:rPr>
        <w:t>(aprotinin)</w:t>
      </w:r>
      <w:r>
        <w:rPr>
          <w:spacing w:val="-3"/>
        </w:rPr>
        <w:t>等；能够强烈抑制所有蛋白酶的活性（</w:t>
      </w:r>
      <w:r>
        <w:rPr>
          <w:spacing w:val="-2"/>
        </w:rPr>
        <w:t>如丝氨</w:t>
      </w:r>
      <w:r>
        <w:rPr>
          <w:spacing w:val="-3"/>
        </w:rPr>
        <w:t>酸蛋白酶、巯基蛋白酶、金属蛋白酶、酸性蛋白酶</w:t>
      </w:r>
      <w:r>
        <w:rPr>
          <w:spacing w:val="-108"/>
        </w:rPr>
        <w:t>）</w:t>
      </w:r>
      <w:r>
        <w:t>。</w:t>
      </w:r>
    </w:p>
    <w:p>
      <w:pPr>
        <w:pStyle w:val="3"/>
        <w:spacing w:before="9"/>
      </w:pPr>
    </w:p>
    <w:p>
      <w:pPr>
        <w:pStyle w:val="3"/>
        <w:ind w:left="114"/>
      </w:pPr>
      <w:r>
        <w:rPr>
          <w:b/>
        </w:rPr>
        <w:t>储存</w:t>
      </w:r>
      <w:r>
        <w:rPr>
          <w:rFonts w:ascii="Arial" w:hAnsi="Arial" w:eastAsia="Arial"/>
          <w:b/>
        </w:rPr>
        <w:t xml:space="preserve">: </w:t>
      </w:r>
      <w:r>
        <w:rPr>
          <w:rFonts w:ascii="Arial" w:hAnsi="Arial" w:eastAsia="Arial"/>
        </w:rPr>
        <w:t>-20 °C</w:t>
      </w:r>
      <w:r>
        <w:t>，一年。储存期间溶液如果出现沉淀，不影响使用。</w:t>
      </w:r>
    </w:p>
    <w:p>
      <w:pPr>
        <w:pStyle w:val="3"/>
        <w:rPr>
          <w:sz w:val="24"/>
        </w:rPr>
      </w:pPr>
    </w:p>
    <w:p>
      <w:pPr>
        <w:pStyle w:val="2"/>
        <w:spacing w:before="204"/>
      </w:pPr>
      <w:r>
        <w:t>使用方法：</w:t>
      </w:r>
    </w:p>
    <w:p>
      <w:pPr>
        <w:pStyle w:val="3"/>
        <w:spacing w:before="7"/>
        <w:rPr>
          <w:b/>
          <w:sz w:val="15"/>
        </w:rPr>
      </w:pPr>
    </w:p>
    <w:p>
      <w:pPr>
        <w:pStyle w:val="7"/>
        <w:numPr>
          <w:ilvl w:val="0"/>
          <w:numId w:val="1"/>
        </w:numPr>
        <w:tabs>
          <w:tab w:val="left" w:pos="393"/>
        </w:tabs>
        <w:spacing w:before="199" w:after="0" w:line="240" w:lineRule="auto"/>
        <w:ind w:left="392" w:right="0" w:hanging="279"/>
        <w:jc w:val="left"/>
        <w:rPr>
          <w:sz w:val="21"/>
        </w:rPr>
      </w:pPr>
      <w:r>
        <w:rPr>
          <w:spacing w:val="-3"/>
          <w:sz w:val="21"/>
        </w:rPr>
        <w:t>取出</w:t>
      </w:r>
      <w:r>
        <w:rPr>
          <w:rFonts w:hint="eastAsia"/>
          <w:spacing w:val="-3"/>
          <w:sz w:val="21"/>
        </w:rPr>
        <w:t xml:space="preserve">蛋白酶抑制剂混合物 哺乳动物专用(Protease inhibitor ,Cocktail ,50x) </w:t>
      </w:r>
      <w:r>
        <w:rPr>
          <w:spacing w:val="-3"/>
          <w:sz w:val="21"/>
        </w:rPr>
        <w:t>振荡重悬。</w:t>
      </w:r>
    </w:p>
    <w:p>
      <w:pPr>
        <w:pStyle w:val="7"/>
        <w:numPr>
          <w:ilvl w:val="0"/>
          <w:numId w:val="1"/>
        </w:numPr>
        <w:tabs>
          <w:tab w:val="left" w:pos="393"/>
        </w:tabs>
        <w:spacing w:before="199" w:after="0" w:line="240" w:lineRule="auto"/>
        <w:ind w:left="392" w:right="0" w:hanging="279"/>
        <w:jc w:val="left"/>
        <w:rPr>
          <w:sz w:val="21"/>
        </w:rPr>
      </w:pPr>
      <w:r>
        <w:rPr>
          <w:sz w:val="21"/>
        </w:rPr>
        <w:t>按照</w:t>
      </w:r>
      <w:r>
        <w:rPr>
          <w:rFonts w:ascii="Arial" w:eastAsia="Arial"/>
          <w:sz w:val="21"/>
        </w:rPr>
        <w:t>1</w:t>
      </w:r>
      <w:r>
        <w:rPr>
          <w:sz w:val="21"/>
        </w:rPr>
        <w:t>：</w:t>
      </w:r>
      <w:r>
        <w:rPr>
          <w:rFonts w:ascii="Arial" w:eastAsia="Arial"/>
          <w:sz w:val="21"/>
        </w:rPr>
        <w:t>49</w:t>
      </w:r>
      <w:r>
        <w:rPr>
          <w:spacing w:val="-3"/>
          <w:sz w:val="21"/>
        </w:rPr>
        <w:t>比例，将混合物加入组织细胞裂解液中，混合均匀即可。</w:t>
      </w:r>
    </w:p>
    <w:p>
      <w:pPr>
        <w:pStyle w:val="3"/>
        <w:rPr>
          <w:sz w:val="24"/>
        </w:rPr>
      </w:pPr>
    </w:p>
    <w:p>
      <w:pPr>
        <w:pStyle w:val="3"/>
        <w:rPr>
          <w:sz w:val="28"/>
        </w:rPr>
      </w:pPr>
    </w:p>
    <w:p>
      <w:pPr>
        <w:pStyle w:val="2"/>
      </w:pPr>
      <w:r>
        <w:t>注意：</w:t>
      </w:r>
    </w:p>
    <w:p>
      <w:pPr>
        <w:pStyle w:val="3"/>
        <w:spacing w:before="7"/>
        <w:rPr>
          <w:b/>
          <w:sz w:val="15"/>
        </w:rPr>
      </w:pPr>
    </w:p>
    <w:p>
      <w:pPr>
        <w:pStyle w:val="7"/>
        <w:numPr>
          <w:ilvl w:val="0"/>
          <w:numId w:val="2"/>
        </w:numPr>
        <w:tabs>
          <w:tab w:val="left" w:pos="533"/>
          <w:tab w:val="left" w:pos="535"/>
        </w:tabs>
        <w:spacing w:before="0" w:after="0" w:line="240" w:lineRule="auto"/>
        <w:ind w:left="534" w:right="0" w:hanging="421"/>
        <w:jc w:val="left"/>
        <w:rPr>
          <w:sz w:val="21"/>
        </w:rPr>
      </w:pPr>
      <w:r>
        <w:rPr>
          <w:spacing w:val="-3"/>
          <w:sz w:val="21"/>
        </w:rPr>
        <w:t>请避免阳光，紫外线以及还原剂等与该溶液的接触。</w:t>
      </w:r>
    </w:p>
    <w:p>
      <w:pPr>
        <w:pStyle w:val="7"/>
        <w:numPr>
          <w:ilvl w:val="0"/>
          <w:numId w:val="2"/>
        </w:numPr>
        <w:tabs>
          <w:tab w:val="left" w:pos="533"/>
          <w:tab w:val="left" w:pos="535"/>
        </w:tabs>
        <w:spacing w:before="199" w:after="0" w:line="240" w:lineRule="auto"/>
        <w:ind w:left="534" w:right="0" w:hanging="421"/>
        <w:jc w:val="left"/>
        <w:rPr>
          <w:sz w:val="21"/>
        </w:rPr>
      </w:pPr>
      <w:r>
        <w:rPr>
          <w:spacing w:val="-3"/>
          <w:sz w:val="21"/>
        </w:rPr>
        <w:t>避免过多的反复冻融，必要时可以进行分装。</w:t>
      </w:r>
    </w:p>
    <w:p>
      <w:pPr>
        <w:pStyle w:val="7"/>
        <w:numPr>
          <w:ilvl w:val="0"/>
          <w:numId w:val="2"/>
        </w:numPr>
        <w:tabs>
          <w:tab w:val="left" w:pos="533"/>
          <w:tab w:val="left" w:pos="535"/>
        </w:tabs>
        <w:spacing w:before="199" w:after="0" w:line="240" w:lineRule="auto"/>
        <w:ind w:left="534" w:right="0" w:hanging="421"/>
        <w:jc w:val="left"/>
        <w:rPr>
          <w:sz w:val="21"/>
        </w:rPr>
      </w:pPr>
      <w:r>
        <w:rPr>
          <w:spacing w:val="-3"/>
          <w:sz w:val="21"/>
        </w:rPr>
        <w:t>该混合物在冷冻后可能出现沉淀物，这是正常现象，可振荡溶解后继续使用，不影响效果。</w:t>
      </w:r>
    </w:p>
    <w:p>
      <w:pPr>
        <w:pStyle w:val="7"/>
        <w:numPr>
          <w:ilvl w:val="0"/>
          <w:numId w:val="2"/>
        </w:numPr>
        <w:tabs>
          <w:tab w:val="left" w:pos="533"/>
          <w:tab w:val="left" w:pos="535"/>
        </w:tabs>
        <w:spacing w:before="200" w:after="0" w:line="240" w:lineRule="auto"/>
        <w:ind w:left="534" w:right="0" w:hanging="421"/>
        <w:jc w:val="left"/>
        <w:rPr>
          <w:sz w:val="21"/>
        </w:rPr>
      </w:pPr>
      <w:r>
        <w:rPr>
          <w:spacing w:val="-3"/>
          <w:sz w:val="21"/>
        </w:rPr>
        <w:t>该产品仅适用于科学研究，请勿用于人体实验。</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2"/>
      </w:pPr>
    </w:p>
    <w:p>
      <w:pPr>
        <w:spacing w:after="0"/>
        <w:sectPr>
          <w:type w:val="continuous"/>
          <w:pgSz w:w="11910" w:h="16840"/>
          <w:pgMar w:top="780" w:right="1260" w:bottom="280" w:left="1360" w:header="720" w:footer="720" w:gutter="0"/>
        </w:sectPr>
      </w:pPr>
    </w:p>
    <w:p>
      <w:pPr>
        <w:spacing w:before="124"/>
        <w:ind w:left="114" w:right="0" w:firstLine="0"/>
        <w:jc w:val="left"/>
        <w:rPr>
          <w:rFonts w:ascii="Arial"/>
          <w:sz w:val="18"/>
        </w:rPr>
      </w:pPr>
      <w:r>
        <w:rPr>
          <w:rFonts w:ascii="Arial"/>
          <w:sz w:val="18"/>
        </w:rPr>
        <w:t>Applygen Technologies Inc.</w:t>
      </w:r>
    </w:p>
    <w:p>
      <w:pPr>
        <w:spacing w:before="151"/>
        <w:ind w:left="114" w:right="0" w:firstLine="0"/>
        <w:jc w:val="left"/>
        <w:rPr>
          <w:rFonts w:ascii="Times New Roman"/>
          <w:i/>
          <w:sz w:val="18"/>
        </w:rPr>
      </w:pPr>
      <w:r>
        <w:br w:type="column"/>
      </w:r>
      <w:r>
        <w:rPr>
          <w:rFonts w:ascii="Times New Roman"/>
          <w:i/>
          <w:sz w:val="18"/>
        </w:rPr>
        <w:t>Page 1 of 1</w:t>
      </w:r>
    </w:p>
    <w:p>
      <w:pPr>
        <w:spacing w:before="124"/>
        <w:ind w:left="114" w:right="0" w:firstLine="0"/>
        <w:jc w:val="left"/>
        <w:rPr>
          <w:rFonts w:ascii="Arial"/>
          <w:sz w:val="18"/>
        </w:rPr>
      </w:pPr>
      <w:r>
        <w:br w:type="column"/>
      </w:r>
      <w:r>
        <w:rPr>
          <w:rFonts w:ascii="Arial"/>
          <w:sz w:val="18"/>
        </w:rPr>
        <w:t>DocRev: 201308</w:t>
      </w:r>
    </w:p>
    <w:sectPr>
      <w:type w:val="continuous"/>
      <w:pgSz w:w="11910" w:h="16840"/>
      <w:pgMar w:top="780" w:right="1260" w:bottom="280" w:left="1360" w:header="720" w:footer="720" w:gutter="0"/>
      <w:cols w:equalWidth="0" w:num="3">
        <w:col w:w="2365" w:space="2043"/>
        <w:col w:w="981" w:space="2230"/>
        <w:col w:w="167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A00002EF" w:usb1="4000207B" w:usb2="00000000" w:usb3="00000000" w:csb0="2000009F" w:csb1="00000000"/>
  </w:font>
  <w:font w:name="Calibri">
    <w:panose1 w:val="020F0502020204030204"/>
    <w:charset w:val="86"/>
    <w:family w:val="swiss"/>
    <w:pitch w:val="default"/>
    <w:sig w:usb0="A00002EF" w:usb1="4000207B" w:usb2="00000000" w:usb3="00000000" w:csb0="2000009F" w:csb1="00000000"/>
  </w:font>
  <w:font w:name="Calibri">
    <w:panose1 w:val="020F0502020204030204"/>
    <w:charset w:val="00"/>
    <w:family w:val="auto"/>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534" w:hanging="420"/>
        <w:jc w:val="left"/>
      </w:pPr>
      <w:rPr>
        <w:rFonts w:hint="default" w:ascii="Arial" w:hAnsi="Arial" w:eastAsia="Arial" w:cs="Arial"/>
        <w:w w:val="100"/>
        <w:sz w:val="21"/>
        <w:szCs w:val="21"/>
        <w:lang w:val="en-US" w:eastAsia="en-US" w:bidi="en-US"/>
      </w:rPr>
    </w:lvl>
    <w:lvl w:ilvl="1" w:tentative="0">
      <w:start w:val="0"/>
      <w:numFmt w:val="bullet"/>
      <w:lvlText w:val="•"/>
      <w:lvlJc w:val="left"/>
      <w:pPr>
        <w:ind w:left="1414" w:hanging="420"/>
      </w:pPr>
      <w:rPr>
        <w:rFonts w:hint="default"/>
        <w:lang w:val="en-US" w:eastAsia="en-US" w:bidi="en-US"/>
      </w:rPr>
    </w:lvl>
    <w:lvl w:ilvl="2" w:tentative="0">
      <w:start w:val="0"/>
      <w:numFmt w:val="bullet"/>
      <w:lvlText w:val="•"/>
      <w:lvlJc w:val="left"/>
      <w:pPr>
        <w:ind w:left="2289" w:hanging="420"/>
      </w:pPr>
      <w:rPr>
        <w:rFonts w:hint="default"/>
        <w:lang w:val="en-US" w:eastAsia="en-US" w:bidi="en-US"/>
      </w:rPr>
    </w:lvl>
    <w:lvl w:ilvl="3" w:tentative="0">
      <w:start w:val="0"/>
      <w:numFmt w:val="bullet"/>
      <w:lvlText w:val="•"/>
      <w:lvlJc w:val="left"/>
      <w:pPr>
        <w:ind w:left="3163" w:hanging="420"/>
      </w:pPr>
      <w:rPr>
        <w:rFonts w:hint="default"/>
        <w:lang w:val="en-US" w:eastAsia="en-US" w:bidi="en-US"/>
      </w:rPr>
    </w:lvl>
    <w:lvl w:ilvl="4" w:tentative="0">
      <w:start w:val="0"/>
      <w:numFmt w:val="bullet"/>
      <w:lvlText w:val="•"/>
      <w:lvlJc w:val="left"/>
      <w:pPr>
        <w:ind w:left="4038" w:hanging="420"/>
      </w:pPr>
      <w:rPr>
        <w:rFonts w:hint="default"/>
        <w:lang w:val="en-US" w:eastAsia="en-US" w:bidi="en-US"/>
      </w:rPr>
    </w:lvl>
    <w:lvl w:ilvl="5" w:tentative="0">
      <w:start w:val="0"/>
      <w:numFmt w:val="bullet"/>
      <w:lvlText w:val="•"/>
      <w:lvlJc w:val="left"/>
      <w:pPr>
        <w:ind w:left="4913" w:hanging="420"/>
      </w:pPr>
      <w:rPr>
        <w:rFonts w:hint="default"/>
        <w:lang w:val="en-US" w:eastAsia="en-US" w:bidi="en-US"/>
      </w:rPr>
    </w:lvl>
    <w:lvl w:ilvl="6" w:tentative="0">
      <w:start w:val="0"/>
      <w:numFmt w:val="bullet"/>
      <w:lvlText w:val="•"/>
      <w:lvlJc w:val="left"/>
      <w:pPr>
        <w:ind w:left="5787" w:hanging="420"/>
      </w:pPr>
      <w:rPr>
        <w:rFonts w:hint="default"/>
        <w:lang w:val="en-US" w:eastAsia="en-US" w:bidi="en-US"/>
      </w:rPr>
    </w:lvl>
    <w:lvl w:ilvl="7" w:tentative="0">
      <w:start w:val="0"/>
      <w:numFmt w:val="bullet"/>
      <w:lvlText w:val="•"/>
      <w:lvlJc w:val="left"/>
      <w:pPr>
        <w:ind w:left="6662" w:hanging="420"/>
      </w:pPr>
      <w:rPr>
        <w:rFonts w:hint="default"/>
        <w:lang w:val="en-US" w:eastAsia="en-US" w:bidi="en-US"/>
      </w:rPr>
    </w:lvl>
    <w:lvl w:ilvl="8" w:tentative="0">
      <w:start w:val="0"/>
      <w:numFmt w:val="bullet"/>
      <w:lvlText w:val="•"/>
      <w:lvlJc w:val="left"/>
      <w:pPr>
        <w:ind w:left="7537" w:hanging="420"/>
      </w:pPr>
      <w:rPr>
        <w:rFonts w:hint="default"/>
        <w:lang w:val="en-US" w:eastAsia="en-US" w:bidi="en-US"/>
      </w:rPr>
    </w:lvl>
  </w:abstractNum>
  <w:abstractNum w:abstractNumId="1">
    <w:nsid w:val="0053208E"/>
    <w:multiLevelType w:val="multilevel"/>
    <w:tmpl w:val="0053208E"/>
    <w:lvl w:ilvl="0" w:tentative="0">
      <w:start w:val="1"/>
      <w:numFmt w:val="decimal"/>
      <w:lvlText w:val="%1."/>
      <w:lvlJc w:val="left"/>
      <w:pPr>
        <w:ind w:left="392" w:hanging="279"/>
        <w:jc w:val="left"/>
      </w:pPr>
      <w:rPr>
        <w:rFonts w:hint="default" w:ascii="Arial" w:hAnsi="Arial" w:eastAsia="Arial" w:cs="Arial"/>
        <w:w w:val="100"/>
        <w:sz w:val="21"/>
        <w:szCs w:val="21"/>
        <w:lang w:val="en-US" w:eastAsia="en-US" w:bidi="en-US"/>
      </w:rPr>
    </w:lvl>
    <w:lvl w:ilvl="1" w:tentative="0">
      <w:start w:val="0"/>
      <w:numFmt w:val="bullet"/>
      <w:lvlText w:val="•"/>
      <w:lvlJc w:val="left"/>
      <w:pPr>
        <w:ind w:left="1288" w:hanging="279"/>
      </w:pPr>
      <w:rPr>
        <w:rFonts w:hint="default"/>
        <w:lang w:val="en-US" w:eastAsia="en-US" w:bidi="en-US"/>
      </w:rPr>
    </w:lvl>
    <w:lvl w:ilvl="2" w:tentative="0">
      <w:start w:val="0"/>
      <w:numFmt w:val="bullet"/>
      <w:lvlText w:val="•"/>
      <w:lvlJc w:val="left"/>
      <w:pPr>
        <w:ind w:left="2177" w:hanging="279"/>
      </w:pPr>
      <w:rPr>
        <w:rFonts w:hint="default"/>
        <w:lang w:val="en-US" w:eastAsia="en-US" w:bidi="en-US"/>
      </w:rPr>
    </w:lvl>
    <w:lvl w:ilvl="3" w:tentative="0">
      <w:start w:val="0"/>
      <w:numFmt w:val="bullet"/>
      <w:lvlText w:val="•"/>
      <w:lvlJc w:val="left"/>
      <w:pPr>
        <w:ind w:left="3065" w:hanging="279"/>
      </w:pPr>
      <w:rPr>
        <w:rFonts w:hint="default"/>
        <w:lang w:val="en-US" w:eastAsia="en-US" w:bidi="en-US"/>
      </w:rPr>
    </w:lvl>
    <w:lvl w:ilvl="4" w:tentative="0">
      <w:start w:val="0"/>
      <w:numFmt w:val="bullet"/>
      <w:lvlText w:val="•"/>
      <w:lvlJc w:val="left"/>
      <w:pPr>
        <w:ind w:left="3954" w:hanging="279"/>
      </w:pPr>
      <w:rPr>
        <w:rFonts w:hint="default"/>
        <w:lang w:val="en-US" w:eastAsia="en-US" w:bidi="en-US"/>
      </w:rPr>
    </w:lvl>
    <w:lvl w:ilvl="5" w:tentative="0">
      <w:start w:val="0"/>
      <w:numFmt w:val="bullet"/>
      <w:lvlText w:val="•"/>
      <w:lvlJc w:val="left"/>
      <w:pPr>
        <w:ind w:left="4843" w:hanging="279"/>
      </w:pPr>
      <w:rPr>
        <w:rFonts w:hint="default"/>
        <w:lang w:val="en-US" w:eastAsia="en-US" w:bidi="en-US"/>
      </w:rPr>
    </w:lvl>
    <w:lvl w:ilvl="6" w:tentative="0">
      <w:start w:val="0"/>
      <w:numFmt w:val="bullet"/>
      <w:lvlText w:val="•"/>
      <w:lvlJc w:val="left"/>
      <w:pPr>
        <w:ind w:left="5731" w:hanging="279"/>
      </w:pPr>
      <w:rPr>
        <w:rFonts w:hint="default"/>
        <w:lang w:val="en-US" w:eastAsia="en-US" w:bidi="en-US"/>
      </w:rPr>
    </w:lvl>
    <w:lvl w:ilvl="7" w:tentative="0">
      <w:start w:val="0"/>
      <w:numFmt w:val="bullet"/>
      <w:lvlText w:val="•"/>
      <w:lvlJc w:val="left"/>
      <w:pPr>
        <w:ind w:left="6620" w:hanging="279"/>
      </w:pPr>
      <w:rPr>
        <w:rFonts w:hint="default"/>
        <w:lang w:val="en-US" w:eastAsia="en-US" w:bidi="en-US"/>
      </w:rPr>
    </w:lvl>
    <w:lvl w:ilvl="8" w:tentative="0">
      <w:start w:val="0"/>
      <w:numFmt w:val="bullet"/>
      <w:lvlText w:val="•"/>
      <w:lvlJc w:val="left"/>
      <w:pPr>
        <w:ind w:left="7509" w:hanging="279"/>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033A2BB6"/>
    <w:rsid w:val="11094610"/>
    <w:rsid w:val="6A7A37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en-US"/>
    </w:rPr>
  </w:style>
  <w:style w:type="paragraph" w:styleId="2">
    <w:name w:val="heading 1"/>
    <w:basedOn w:val="1"/>
    <w:next w:val="1"/>
    <w:qFormat/>
    <w:uiPriority w:val="1"/>
    <w:pPr>
      <w:ind w:left="114"/>
      <w:outlineLvl w:val="1"/>
    </w:pPr>
    <w:rPr>
      <w:rFonts w:ascii="宋体" w:hAnsi="宋体" w:eastAsia="宋体" w:cs="宋体"/>
      <w:b/>
      <w:bCs/>
      <w:sz w:val="21"/>
      <w:szCs w:val="21"/>
      <w:lang w:val="en-US" w:eastAsia="en-US" w:bidi="en-US"/>
    </w:rPr>
  </w:style>
  <w:style w:type="character" w:default="1" w:styleId="5">
    <w:name w:val="Default Paragraph Font"/>
    <w:semiHidden/>
    <w:unhideWhenUsed/>
    <w:qFormat/>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1"/>
      <w:szCs w:val="21"/>
      <w:lang w:val="en-US" w:eastAsia="en-US" w:bidi="en-US"/>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199"/>
      <w:ind w:left="534" w:hanging="421"/>
    </w:pPr>
    <w:rPr>
      <w:rFonts w:ascii="宋体" w:hAnsi="宋体" w:eastAsia="宋体" w:cs="宋体"/>
      <w:lang w:val="en-US" w:eastAsia="en-US" w:bidi="en-US"/>
    </w:rPr>
  </w:style>
  <w:style w:type="paragraph" w:customStyle="1" w:styleId="8">
    <w:name w:val="Table Paragraph"/>
    <w:basedOn w:val="1"/>
    <w:qFormat/>
    <w:uiPriority w:val="1"/>
    <w:rPr>
      <w:lang w:val="en-US"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143</TotalTime>
  <ScaleCrop>false</ScaleCrop>
  <LinksUpToDate>false</LinksUpToDate>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2020-03-27T06:41:00Z</dcterms:created>
  <dc:creator>Xu GH</dc:creator>
  <cp:lastModifiedBy>WPS_1493603848</cp:lastModifiedBy>
  <cp:lastPrinted>2021-01-06T06:00:47Z</cp:lastPrinted>
  <dcterms:modified xsi:type="dcterms:W3CDTF">2021-01-06T08:22:43Z</dcterms:modified>
  <dc:title>Hipure RNA kit说明书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2013-08-14T00:00:00Z</vt:filetime>
  </property>
  <property fmtid="{D5CDD505-2E9C-101B-9397-08002B2CF9AE}" pid="3" name="Creator">
    <vt:lpwstr>Microsoft® Word 2010</vt:lpwstr>
  </property>
  <property fmtid="{D5CDD505-2E9C-101B-9397-08002B2CF9AE}" pid="4" name="LastSaved">
    <vt:filetime>2020-03-27T00:00:00Z</vt:filetime>
  </property>
  <property fmtid="{D5CDD505-2E9C-101B-9397-08002B2CF9AE}" pid="5" name="KSOProductBuildVer">
    <vt:lpwstr>2052-11.1.0.10228</vt:lpwstr>
  </property>
</Properties>
</file>